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415" w:rsidRPr="00D23415" w:rsidRDefault="00EC200C" w:rsidP="00D23415">
      <w:pPr>
        <w:tabs>
          <w:tab w:val="right" w:pos="9360"/>
        </w:tabs>
        <w:spacing w:after="0" w:line="240" w:lineRule="exact"/>
        <w:jc w:val="center"/>
        <w:rPr>
          <w:rFonts w:ascii="Times" w:eastAsia="Times New Roman" w:hAnsi="Times" w:cs="Times New Roman"/>
          <w:szCs w:val="20"/>
        </w:rPr>
      </w:pPr>
      <w:r>
        <w:rPr>
          <w:rFonts w:ascii="Times" w:eastAsia="Times New Roman" w:hAnsi="Times" w:cs="Times New Roman"/>
          <w:szCs w:val="20"/>
        </w:rPr>
        <w:t xml:space="preserve">  </w:t>
      </w:r>
      <w:r w:rsidR="00D23415" w:rsidRPr="00D23415">
        <w:rPr>
          <w:rFonts w:ascii="Times" w:eastAsia="Times New Roman" w:hAnsi="Times" w:cs="Times New Roman"/>
          <w:szCs w:val="20"/>
        </w:rPr>
        <w:t xml:space="preserve">SOAH DOCKET NO.  </w:t>
      </w:r>
      <w:r w:rsidR="00242937">
        <w:rPr>
          <w:rFonts w:ascii="Times" w:eastAsia="Times New Roman" w:hAnsi="Times" w:cs="Times New Roman"/>
          <w:szCs w:val="20"/>
        </w:rPr>
        <w:t>473-19</w:t>
      </w:r>
      <w:r w:rsidR="00746A3B">
        <w:rPr>
          <w:rFonts w:ascii="Times" w:eastAsia="Times New Roman" w:hAnsi="Times" w:cs="Times New Roman"/>
          <w:szCs w:val="20"/>
        </w:rPr>
        <w:t>-</w:t>
      </w:r>
      <w:r w:rsidR="00242937">
        <w:rPr>
          <w:rFonts w:ascii="Times" w:eastAsia="Times New Roman" w:hAnsi="Times" w:cs="Times New Roman"/>
          <w:szCs w:val="20"/>
        </w:rPr>
        <w:t>3864</w:t>
      </w:r>
    </w:p>
    <w:p w:rsidR="00D23415" w:rsidRPr="00D23415" w:rsidRDefault="00CB6A10" w:rsidP="00D23415">
      <w:pPr>
        <w:tabs>
          <w:tab w:val="right" w:pos="9360"/>
        </w:tabs>
        <w:spacing w:after="0" w:line="240" w:lineRule="exact"/>
        <w:jc w:val="center"/>
        <w:rPr>
          <w:rFonts w:ascii="Times" w:eastAsia="Times New Roman" w:hAnsi="Times" w:cs="Times New Roman"/>
          <w:szCs w:val="20"/>
        </w:rPr>
      </w:pPr>
      <w:r>
        <w:rPr>
          <w:rFonts w:ascii="Times" w:eastAsia="Times New Roman" w:hAnsi="Times" w:cs="Times New Roman"/>
          <w:szCs w:val="20"/>
        </w:rPr>
        <w:t xml:space="preserve">PUCT DOCKET NO. </w:t>
      </w:r>
      <w:r w:rsidR="00BB01F4">
        <w:rPr>
          <w:rFonts w:ascii="Times" w:eastAsia="Times New Roman" w:hAnsi="Times" w:cs="Times New Roman"/>
          <w:szCs w:val="20"/>
        </w:rPr>
        <w:t>4</w:t>
      </w:r>
      <w:r w:rsidR="00242937">
        <w:rPr>
          <w:rFonts w:ascii="Times" w:eastAsia="Times New Roman" w:hAnsi="Times" w:cs="Times New Roman"/>
          <w:szCs w:val="20"/>
        </w:rPr>
        <w:t>9421</w:t>
      </w:r>
    </w:p>
    <w:p w:rsidR="00D23415" w:rsidRPr="00D23415" w:rsidRDefault="00D23415" w:rsidP="00D23415">
      <w:pPr>
        <w:tabs>
          <w:tab w:val="right" w:pos="288"/>
          <w:tab w:val="left" w:pos="864"/>
        </w:tabs>
        <w:spacing w:after="0" w:line="240" w:lineRule="exact"/>
        <w:jc w:val="center"/>
        <w:rPr>
          <w:rFonts w:ascii="Times" w:eastAsia="Times New Roman" w:hAnsi="Times" w:cs="Times New Roman"/>
          <w:szCs w:val="20"/>
        </w:rPr>
      </w:pPr>
    </w:p>
    <w:p w:rsidR="00D23415" w:rsidRPr="00D23415" w:rsidRDefault="00D23415" w:rsidP="00D23415">
      <w:pPr>
        <w:tabs>
          <w:tab w:val="right" w:pos="288"/>
          <w:tab w:val="left" w:pos="864"/>
        </w:tabs>
        <w:spacing w:after="0" w:line="240" w:lineRule="exact"/>
        <w:jc w:val="center"/>
        <w:rPr>
          <w:rFonts w:ascii="Times" w:eastAsia="Times New Roman" w:hAnsi="Times" w:cs="Times New Roman"/>
          <w:szCs w:val="20"/>
        </w:rPr>
      </w:pPr>
    </w:p>
    <w:p w:rsidR="00D23415" w:rsidRPr="00D23415" w:rsidRDefault="00D23415" w:rsidP="00D23415">
      <w:pPr>
        <w:tabs>
          <w:tab w:val="left" w:pos="4608"/>
          <w:tab w:val="right" w:pos="9360"/>
        </w:tabs>
        <w:spacing w:after="0" w:line="240" w:lineRule="exact"/>
        <w:rPr>
          <w:rFonts w:ascii="Times" w:eastAsia="Times New Roman" w:hAnsi="Times" w:cs="Times New Roman"/>
          <w:szCs w:val="20"/>
        </w:rPr>
      </w:pPr>
      <w:r w:rsidRPr="00D23415">
        <w:rPr>
          <w:rFonts w:ascii="Times" w:eastAsia="Times New Roman" w:hAnsi="Times" w:cs="Times New Roman"/>
          <w:szCs w:val="20"/>
        </w:rPr>
        <w:tab/>
        <w:t>§</w:t>
      </w:r>
    </w:p>
    <w:p w:rsidR="00D23415" w:rsidRPr="00D23415" w:rsidRDefault="00242937" w:rsidP="00D23415">
      <w:pPr>
        <w:tabs>
          <w:tab w:val="left" w:pos="4608"/>
          <w:tab w:val="right" w:pos="9360"/>
        </w:tabs>
        <w:spacing w:after="0" w:line="240" w:lineRule="exact"/>
        <w:rPr>
          <w:rFonts w:ascii="Times" w:eastAsia="Times New Roman" w:hAnsi="Times" w:cs="Times New Roman"/>
          <w:szCs w:val="20"/>
        </w:rPr>
      </w:pPr>
      <w:r>
        <w:rPr>
          <w:rFonts w:ascii="Times" w:eastAsia="Times New Roman" w:hAnsi="Times" w:cs="Times New Roman"/>
          <w:szCs w:val="20"/>
        </w:rPr>
        <w:t>APPLICATION OF CENTERPOINT</w:t>
      </w:r>
      <w:r w:rsidR="00D23415" w:rsidRPr="00D23415">
        <w:rPr>
          <w:rFonts w:ascii="Times" w:eastAsia="Times New Roman" w:hAnsi="Times" w:cs="Times New Roman"/>
          <w:szCs w:val="20"/>
        </w:rPr>
        <w:tab/>
        <w:t>§                  BEFORE THE STATE OFFICE</w:t>
      </w:r>
    </w:p>
    <w:p w:rsidR="00D23415" w:rsidRPr="00D23415" w:rsidRDefault="00242937" w:rsidP="00D23415">
      <w:pPr>
        <w:tabs>
          <w:tab w:val="left" w:pos="4608"/>
          <w:tab w:val="right" w:pos="8784"/>
        </w:tabs>
        <w:spacing w:after="0" w:line="240" w:lineRule="exact"/>
        <w:rPr>
          <w:rFonts w:ascii="Times" w:eastAsia="Times New Roman" w:hAnsi="Times" w:cs="Times New Roman"/>
          <w:szCs w:val="20"/>
        </w:rPr>
      </w:pPr>
      <w:r>
        <w:rPr>
          <w:rFonts w:ascii="Times" w:eastAsia="Times New Roman" w:hAnsi="Times" w:cs="Times New Roman"/>
          <w:szCs w:val="20"/>
        </w:rPr>
        <w:t>ENERGY HOUSTON ELECTRIC, LLC</w:t>
      </w:r>
      <w:r w:rsidR="00D23415" w:rsidRPr="00D23415">
        <w:rPr>
          <w:rFonts w:ascii="Times" w:eastAsia="Times New Roman" w:hAnsi="Times" w:cs="Times New Roman"/>
          <w:szCs w:val="20"/>
        </w:rPr>
        <w:tab/>
        <w:t>§                                        OF</w:t>
      </w:r>
    </w:p>
    <w:p w:rsidR="00D23415" w:rsidRDefault="00242937" w:rsidP="00D23415">
      <w:pPr>
        <w:tabs>
          <w:tab w:val="left" w:pos="4608"/>
          <w:tab w:val="right" w:pos="9360"/>
        </w:tabs>
        <w:spacing w:after="0" w:line="240" w:lineRule="exact"/>
        <w:rPr>
          <w:rFonts w:ascii="Times" w:eastAsia="Times New Roman" w:hAnsi="Times" w:cs="Times New Roman"/>
          <w:szCs w:val="20"/>
        </w:rPr>
      </w:pPr>
      <w:r>
        <w:rPr>
          <w:rFonts w:ascii="Times" w:eastAsia="Times New Roman" w:hAnsi="Times" w:cs="Times New Roman"/>
          <w:szCs w:val="20"/>
        </w:rPr>
        <w:t>FOR AUTHORITY TO CHANGE RATES</w:t>
      </w:r>
      <w:r w:rsidR="00D23415" w:rsidRPr="00D23415">
        <w:rPr>
          <w:rFonts w:ascii="Times" w:eastAsia="Times New Roman" w:hAnsi="Times" w:cs="Times New Roman"/>
          <w:szCs w:val="20"/>
        </w:rPr>
        <w:tab/>
        <w:t>§                  ADMINISTRATIVE HEARINGS</w:t>
      </w:r>
    </w:p>
    <w:p w:rsidR="004D5A65" w:rsidRPr="00D23415" w:rsidRDefault="004D5A65" w:rsidP="00D23415">
      <w:pPr>
        <w:tabs>
          <w:tab w:val="left" w:pos="4608"/>
          <w:tab w:val="right" w:pos="9360"/>
        </w:tabs>
        <w:spacing w:after="0" w:line="240" w:lineRule="exact"/>
        <w:rPr>
          <w:rFonts w:ascii="Times" w:eastAsia="Times New Roman" w:hAnsi="Times" w:cs="Times New Roman"/>
          <w:szCs w:val="20"/>
        </w:rPr>
      </w:pPr>
      <w:r>
        <w:rPr>
          <w:rFonts w:ascii="Times" w:eastAsia="Times New Roman" w:hAnsi="Times" w:cs="Times New Roman"/>
          <w:szCs w:val="20"/>
        </w:rPr>
        <w:tab/>
      </w:r>
      <w:r>
        <w:rPr>
          <w:rFonts w:ascii="Times" w:eastAsia="Times New Roman" w:hAnsi="Times" w:cs="Times"/>
          <w:szCs w:val="20"/>
        </w:rPr>
        <w:t>§</w:t>
      </w:r>
      <w:r>
        <w:rPr>
          <w:rFonts w:ascii="Times" w:eastAsia="Times New Roman" w:hAnsi="Times" w:cs="Times New Roman"/>
          <w:szCs w:val="20"/>
        </w:rPr>
        <w:tab/>
      </w:r>
      <w:r>
        <w:rPr>
          <w:rFonts w:ascii="Times" w:eastAsia="Times New Roman" w:hAnsi="Times" w:cs="Times New Roman"/>
          <w:szCs w:val="20"/>
        </w:rPr>
        <w:tab/>
      </w:r>
      <w:r>
        <w:rPr>
          <w:rFonts w:ascii="Times" w:eastAsia="Times New Roman" w:hAnsi="Times" w:cs="Times New Roman"/>
          <w:szCs w:val="20"/>
        </w:rPr>
        <w:tab/>
      </w:r>
    </w:p>
    <w:p w:rsidR="00766D4C" w:rsidRPr="00D23415" w:rsidRDefault="00766D4C" w:rsidP="00D23415">
      <w:pPr>
        <w:tabs>
          <w:tab w:val="left" w:pos="4608"/>
          <w:tab w:val="right" w:pos="8784"/>
        </w:tabs>
        <w:spacing w:after="0" w:line="240" w:lineRule="exact"/>
        <w:rPr>
          <w:rFonts w:ascii="Times" w:eastAsia="Times New Roman" w:hAnsi="Times" w:cs="Times New Roman"/>
          <w:szCs w:val="20"/>
        </w:rPr>
      </w:pPr>
    </w:p>
    <w:p w:rsidR="00D23415" w:rsidRPr="00D23415" w:rsidRDefault="00D23415" w:rsidP="00D23415">
      <w:pPr>
        <w:tabs>
          <w:tab w:val="left" w:pos="4608"/>
          <w:tab w:val="right" w:pos="8784"/>
        </w:tabs>
        <w:spacing w:after="0" w:line="240" w:lineRule="exact"/>
        <w:rPr>
          <w:rFonts w:ascii="Times" w:eastAsia="Times New Roman" w:hAnsi="Times" w:cs="Times New Roman"/>
          <w:szCs w:val="20"/>
        </w:rPr>
      </w:pPr>
    </w:p>
    <w:p w:rsidR="00D23415" w:rsidRPr="00D23415" w:rsidRDefault="00D23415" w:rsidP="00D23415">
      <w:pPr>
        <w:tabs>
          <w:tab w:val="left" w:pos="4608"/>
          <w:tab w:val="right" w:pos="8784"/>
        </w:tabs>
        <w:spacing w:after="0" w:line="240" w:lineRule="exact"/>
        <w:rPr>
          <w:rFonts w:ascii="Times" w:eastAsia="Times New Roman" w:hAnsi="Times" w:cs="Times New Roman"/>
          <w:szCs w:val="20"/>
        </w:rPr>
      </w:pPr>
    </w:p>
    <w:p w:rsidR="00D23415" w:rsidRPr="00D23415" w:rsidRDefault="00D23415" w:rsidP="00D23415">
      <w:pPr>
        <w:tabs>
          <w:tab w:val="left" w:pos="4608"/>
          <w:tab w:val="right" w:pos="8784"/>
        </w:tabs>
        <w:spacing w:after="0" w:line="240" w:lineRule="exact"/>
        <w:jc w:val="center"/>
        <w:rPr>
          <w:rFonts w:ascii="Times" w:eastAsia="Times New Roman" w:hAnsi="Times" w:cs="Times New Roman"/>
          <w:szCs w:val="20"/>
        </w:rPr>
      </w:pPr>
    </w:p>
    <w:p w:rsidR="00D23415" w:rsidRPr="00D23415" w:rsidRDefault="00D23415" w:rsidP="00D23415">
      <w:pPr>
        <w:spacing w:after="0" w:line="240" w:lineRule="auto"/>
        <w:jc w:val="center"/>
        <w:rPr>
          <w:rFonts w:eastAsia="Times New Roman" w:cs="Times New Roman"/>
          <w:sz w:val="20"/>
          <w:szCs w:val="20"/>
        </w:rPr>
      </w:pPr>
    </w:p>
    <w:p w:rsidR="00D23415" w:rsidRPr="00D23415" w:rsidRDefault="00D23415" w:rsidP="00D23415">
      <w:pPr>
        <w:spacing w:after="0" w:line="240" w:lineRule="auto"/>
        <w:jc w:val="center"/>
        <w:rPr>
          <w:rFonts w:eastAsia="Times New Roman" w:cs="Times New Roman"/>
          <w:sz w:val="20"/>
          <w:szCs w:val="20"/>
        </w:rPr>
      </w:pPr>
      <w:r w:rsidRPr="00D23415">
        <w:rPr>
          <w:rFonts w:eastAsia="Times New Roman" w:cs="Times New Roman"/>
          <w:sz w:val="20"/>
          <w:szCs w:val="20"/>
        </w:rPr>
        <w:object w:dxaOrig="6263" w:dyaOrig="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4in" o:ole="" fillcolor="window">
            <v:imagedata r:id="rId8" o:title=""/>
          </v:shape>
          <o:OLEObject Type="Embed" ProgID="CorelPhotoPaint.Image.8" ShapeID="_x0000_i1025" DrawAspect="Content" ObjectID="_1621772554" r:id="rId9"/>
        </w:object>
      </w:r>
    </w:p>
    <w:p w:rsidR="00D23415" w:rsidRPr="00D23415" w:rsidRDefault="00D23415" w:rsidP="00D23415">
      <w:pPr>
        <w:spacing w:after="0" w:line="240" w:lineRule="auto"/>
        <w:jc w:val="center"/>
        <w:rPr>
          <w:rFonts w:eastAsia="Times New Roman" w:cs="Times New Roman"/>
          <w:sz w:val="20"/>
          <w:szCs w:val="20"/>
        </w:rPr>
      </w:pPr>
    </w:p>
    <w:p w:rsidR="000F4D30" w:rsidRDefault="000F4D30" w:rsidP="00D23415">
      <w:pPr>
        <w:tabs>
          <w:tab w:val="right" w:pos="288"/>
          <w:tab w:val="left" w:pos="864"/>
        </w:tabs>
        <w:spacing w:after="0" w:line="240" w:lineRule="exact"/>
        <w:jc w:val="center"/>
        <w:rPr>
          <w:rFonts w:ascii="Times" w:eastAsia="Times New Roman" w:hAnsi="Times" w:cs="Times New Roman"/>
          <w:szCs w:val="20"/>
        </w:rPr>
      </w:pPr>
      <w:r w:rsidRPr="00B80B70">
        <w:rPr>
          <w:rFonts w:ascii="Times" w:eastAsia="Times New Roman" w:hAnsi="Times" w:cs="Times New Roman"/>
          <w:szCs w:val="20"/>
        </w:rPr>
        <w:t>REVENUE REQUIREMENT PHASE</w:t>
      </w:r>
    </w:p>
    <w:p w:rsidR="000F4D30" w:rsidRDefault="000F4D30" w:rsidP="00D23415">
      <w:pPr>
        <w:tabs>
          <w:tab w:val="right" w:pos="288"/>
          <w:tab w:val="left" w:pos="864"/>
        </w:tabs>
        <w:spacing w:after="0" w:line="240" w:lineRule="exact"/>
        <w:jc w:val="center"/>
        <w:rPr>
          <w:rFonts w:ascii="Times" w:eastAsia="Times New Roman" w:hAnsi="Times" w:cs="Times New Roman"/>
          <w:szCs w:val="20"/>
        </w:rPr>
      </w:pPr>
    </w:p>
    <w:p w:rsidR="00D23415" w:rsidRPr="00D23415" w:rsidRDefault="00242937" w:rsidP="00D23415">
      <w:pPr>
        <w:tabs>
          <w:tab w:val="right" w:pos="288"/>
          <w:tab w:val="left" w:pos="864"/>
        </w:tabs>
        <w:spacing w:after="0" w:line="240" w:lineRule="exact"/>
        <w:jc w:val="center"/>
        <w:rPr>
          <w:rFonts w:ascii="Times" w:eastAsia="Times New Roman" w:hAnsi="Times" w:cs="Times New Roman"/>
          <w:szCs w:val="20"/>
        </w:rPr>
      </w:pPr>
      <w:r>
        <w:rPr>
          <w:rFonts w:ascii="Times" w:eastAsia="Times New Roman" w:hAnsi="Times" w:cs="Times New Roman"/>
          <w:szCs w:val="20"/>
        </w:rPr>
        <w:t xml:space="preserve">DIRECT </w:t>
      </w:r>
      <w:r w:rsidR="00D23415" w:rsidRPr="00D23415">
        <w:rPr>
          <w:rFonts w:ascii="Times" w:eastAsia="Times New Roman" w:hAnsi="Times" w:cs="Times New Roman"/>
          <w:szCs w:val="20"/>
        </w:rPr>
        <w:t xml:space="preserve">TESTIMONY </w:t>
      </w:r>
      <w:r>
        <w:rPr>
          <w:rFonts w:ascii="Times" w:eastAsia="Times New Roman" w:hAnsi="Times" w:cs="Times New Roman"/>
          <w:szCs w:val="20"/>
        </w:rPr>
        <w:t>OF</w:t>
      </w:r>
    </w:p>
    <w:p w:rsidR="00D23415" w:rsidRPr="00D23415" w:rsidRDefault="00D23415" w:rsidP="00D23415">
      <w:pPr>
        <w:tabs>
          <w:tab w:val="right" w:pos="288"/>
          <w:tab w:val="left" w:pos="864"/>
        </w:tabs>
        <w:spacing w:after="0" w:line="480" w:lineRule="exact"/>
        <w:jc w:val="center"/>
        <w:rPr>
          <w:rFonts w:ascii="Times" w:eastAsia="Times New Roman" w:hAnsi="Times" w:cs="Times New Roman"/>
          <w:szCs w:val="20"/>
        </w:rPr>
      </w:pPr>
    </w:p>
    <w:p w:rsidR="00D23415" w:rsidRPr="00D23415" w:rsidRDefault="007E75B4" w:rsidP="00D23415">
      <w:pPr>
        <w:tabs>
          <w:tab w:val="right" w:pos="288"/>
          <w:tab w:val="left" w:pos="864"/>
        </w:tabs>
        <w:spacing w:after="0" w:line="480" w:lineRule="exact"/>
        <w:jc w:val="center"/>
        <w:rPr>
          <w:rFonts w:ascii="Times" w:eastAsia="Times New Roman" w:hAnsi="Times" w:cs="Times New Roman"/>
          <w:szCs w:val="20"/>
        </w:rPr>
      </w:pPr>
      <w:r>
        <w:rPr>
          <w:rFonts w:ascii="Times" w:eastAsia="Times New Roman" w:hAnsi="Times" w:cs="Times New Roman"/>
          <w:szCs w:val="20"/>
        </w:rPr>
        <w:t>MARK FILAROWICZ</w:t>
      </w:r>
    </w:p>
    <w:p w:rsidR="00D23415" w:rsidRPr="00D23415" w:rsidRDefault="00D23415" w:rsidP="00D23415">
      <w:pPr>
        <w:tabs>
          <w:tab w:val="right" w:pos="288"/>
          <w:tab w:val="left" w:pos="864"/>
        </w:tabs>
        <w:spacing w:after="0" w:line="480" w:lineRule="exact"/>
        <w:jc w:val="center"/>
        <w:rPr>
          <w:rFonts w:ascii="Times" w:eastAsia="Times New Roman" w:hAnsi="Times" w:cs="Times New Roman"/>
          <w:szCs w:val="20"/>
        </w:rPr>
      </w:pPr>
      <w:r w:rsidRPr="00D23415">
        <w:rPr>
          <w:rFonts w:ascii="Times" w:eastAsia="Times New Roman" w:hAnsi="Times" w:cs="Times New Roman"/>
          <w:szCs w:val="20"/>
        </w:rPr>
        <w:t>RATE REGULATION DIVISION</w:t>
      </w:r>
    </w:p>
    <w:p w:rsidR="00D23415" w:rsidRPr="00D23415" w:rsidRDefault="00D23415" w:rsidP="00D23415">
      <w:pPr>
        <w:tabs>
          <w:tab w:val="right" w:pos="288"/>
          <w:tab w:val="left" w:pos="864"/>
        </w:tabs>
        <w:spacing w:after="0" w:line="480" w:lineRule="exact"/>
        <w:jc w:val="center"/>
        <w:rPr>
          <w:rFonts w:ascii="Times" w:eastAsia="Times New Roman" w:hAnsi="Times" w:cs="Times New Roman"/>
          <w:szCs w:val="20"/>
        </w:rPr>
      </w:pPr>
      <w:r w:rsidRPr="00D23415">
        <w:rPr>
          <w:rFonts w:ascii="Times" w:eastAsia="Times New Roman" w:hAnsi="Times" w:cs="Times New Roman"/>
          <w:szCs w:val="20"/>
        </w:rPr>
        <w:t>PUBLIC UTILITY COMMISSION OF TEXAS</w:t>
      </w:r>
    </w:p>
    <w:p w:rsidR="00D23415" w:rsidRPr="00D23415" w:rsidRDefault="00515B8C" w:rsidP="00D23415">
      <w:pPr>
        <w:tabs>
          <w:tab w:val="right" w:pos="288"/>
          <w:tab w:val="left" w:pos="864"/>
        </w:tabs>
        <w:spacing w:after="0" w:line="480" w:lineRule="exact"/>
        <w:jc w:val="center"/>
        <w:rPr>
          <w:rFonts w:ascii="Times" w:eastAsia="Times New Roman" w:hAnsi="Times" w:cs="Times New Roman"/>
          <w:szCs w:val="20"/>
        </w:rPr>
        <w:sectPr w:rsidR="00D23415" w:rsidRPr="00D23415" w:rsidSect="001D31B1">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518" w:gutter="0"/>
          <w:cols w:space="720"/>
          <w:titlePg/>
        </w:sectPr>
      </w:pPr>
      <w:r>
        <w:rPr>
          <w:rFonts w:ascii="Times" w:eastAsia="Times New Roman" w:hAnsi="Times" w:cs="Times New Roman"/>
          <w:szCs w:val="20"/>
        </w:rPr>
        <w:t>JUNE 12</w:t>
      </w:r>
      <w:r w:rsidR="00D23415" w:rsidRPr="00D23415">
        <w:rPr>
          <w:rFonts w:ascii="Times" w:eastAsia="Times New Roman" w:hAnsi="Times" w:cs="Times New Roman"/>
          <w:szCs w:val="20"/>
        </w:rPr>
        <w:t>, 201</w:t>
      </w:r>
      <w:r w:rsidR="00CA3976">
        <w:rPr>
          <w:rFonts w:ascii="Times" w:eastAsia="Times New Roman" w:hAnsi="Times" w:cs="Times New Roman"/>
          <w:szCs w:val="20"/>
        </w:rPr>
        <w:t>9</w:t>
      </w:r>
    </w:p>
    <w:p w:rsidR="00D23415" w:rsidRPr="00D23415" w:rsidRDefault="00D23415" w:rsidP="00D23415">
      <w:pPr>
        <w:tabs>
          <w:tab w:val="right" w:pos="288"/>
          <w:tab w:val="left" w:pos="864"/>
        </w:tabs>
        <w:spacing w:after="0" w:line="480" w:lineRule="exact"/>
        <w:jc w:val="center"/>
        <w:rPr>
          <w:rFonts w:ascii="Times" w:eastAsia="Times New Roman" w:hAnsi="Times" w:cs="Times New Roman"/>
          <w:b/>
          <w:szCs w:val="20"/>
        </w:rPr>
      </w:pPr>
      <w:r w:rsidRPr="00D23415">
        <w:rPr>
          <w:rFonts w:ascii="Times" w:eastAsia="Times New Roman" w:hAnsi="Times" w:cs="Times New Roman"/>
          <w:b/>
          <w:szCs w:val="20"/>
        </w:rPr>
        <w:lastRenderedPageBreak/>
        <w:t>TABLE OF CONTENTS</w:t>
      </w:r>
    </w:p>
    <w:p w:rsidR="00BF7506" w:rsidRPr="00BF7506" w:rsidRDefault="00D23415">
      <w:pPr>
        <w:pStyle w:val="TOC1"/>
        <w:rPr>
          <w:rFonts w:asciiTheme="minorHAnsi" w:eastAsiaTheme="minorEastAsia" w:hAnsiTheme="minorHAnsi" w:cstheme="minorBidi"/>
          <w:b w:val="0"/>
          <w:sz w:val="24"/>
          <w:szCs w:val="24"/>
        </w:rPr>
      </w:pPr>
      <w:r w:rsidRPr="00BF7506">
        <w:rPr>
          <w:rFonts w:ascii="Times" w:hAnsi="Times"/>
          <w:sz w:val="24"/>
          <w:szCs w:val="24"/>
        </w:rPr>
        <w:fldChar w:fldCharType="begin"/>
      </w:r>
      <w:r w:rsidRPr="00BF7506">
        <w:rPr>
          <w:rFonts w:ascii="Times" w:hAnsi="Times"/>
          <w:sz w:val="24"/>
          <w:szCs w:val="24"/>
        </w:rPr>
        <w:instrText xml:space="preserve"> TOC \o "1-3" </w:instrText>
      </w:r>
      <w:r w:rsidRPr="00BF7506">
        <w:rPr>
          <w:rFonts w:ascii="Times" w:hAnsi="Times"/>
          <w:sz w:val="24"/>
          <w:szCs w:val="24"/>
        </w:rPr>
        <w:fldChar w:fldCharType="separate"/>
      </w:r>
      <w:r w:rsidR="00BF7506" w:rsidRPr="00BF7506">
        <w:rPr>
          <w:sz w:val="24"/>
          <w:szCs w:val="24"/>
        </w:rPr>
        <w:t>I.</w:t>
      </w:r>
      <w:r w:rsidR="00BF7506" w:rsidRPr="00BF7506">
        <w:rPr>
          <w:rFonts w:asciiTheme="minorHAnsi" w:eastAsiaTheme="minorEastAsia" w:hAnsiTheme="minorHAnsi" w:cstheme="minorBidi"/>
          <w:b w:val="0"/>
          <w:sz w:val="24"/>
          <w:szCs w:val="24"/>
        </w:rPr>
        <w:tab/>
      </w:r>
      <w:r w:rsidR="00BF7506" w:rsidRPr="00BF7506">
        <w:rPr>
          <w:sz w:val="24"/>
          <w:szCs w:val="24"/>
        </w:rPr>
        <w:t>STATEMENT OF QUALIFICATIONS</w:t>
      </w:r>
      <w:r w:rsidR="00BF7506" w:rsidRPr="00BF7506">
        <w:rPr>
          <w:sz w:val="24"/>
          <w:szCs w:val="24"/>
        </w:rPr>
        <w:tab/>
      </w:r>
      <w:r w:rsidR="00BF7506" w:rsidRPr="00BF7506">
        <w:rPr>
          <w:sz w:val="24"/>
          <w:szCs w:val="24"/>
        </w:rPr>
        <w:fldChar w:fldCharType="begin"/>
      </w:r>
      <w:r w:rsidR="00BF7506" w:rsidRPr="00BF7506">
        <w:rPr>
          <w:sz w:val="24"/>
          <w:szCs w:val="24"/>
        </w:rPr>
        <w:instrText xml:space="preserve"> PAGEREF _Toc11156105 \h </w:instrText>
      </w:r>
      <w:r w:rsidR="00BF7506" w:rsidRPr="00BF7506">
        <w:rPr>
          <w:sz w:val="24"/>
          <w:szCs w:val="24"/>
        </w:rPr>
      </w:r>
      <w:r w:rsidR="00BF7506" w:rsidRPr="00BF7506">
        <w:rPr>
          <w:sz w:val="24"/>
          <w:szCs w:val="24"/>
        </w:rPr>
        <w:fldChar w:fldCharType="separate"/>
      </w:r>
      <w:r w:rsidR="005D38FC">
        <w:rPr>
          <w:sz w:val="24"/>
          <w:szCs w:val="24"/>
        </w:rPr>
        <w:t>4</w:t>
      </w:r>
      <w:r w:rsidR="00BF7506" w:rsidRPr="00BF7506">
        <w:rPr>
          <w:sz w:val="24"/>
          <w:szCs w:val="24"/>
        </w:rPr>
        <w:fldChar w:fldCharType="end"/>
      </w:r>
    </w:p>
    <w:p w:rsidR="00BF7506" w:rsidRPr="00BF7506" w:rsidRDefault="00BF7506">
      <w:pPr>
        <w:pStyle w:val="TOC1"/>
        <w:rPr>
          <w:rFonts w:asciiTheme="minorHAnsi" w:eastAsiaTheme="minorEastAsia" w:hAnsiTheme="minorHAnsi" w:cstheme="minorBidi"/>
          <w:b w:val="0"/>
          <w:sz w:val="24"/>
          <w:szCs w:val="24"/>
        </w:rPr>
      </w:pPr>
      <w:r w:rsidRPr="00BF7506">
        <w:rPr>
          <w:sz w:val="24"/>
          <w:szCs w:val="24"/>
        </w:rPr>
        <w:t>II.</w:t>
      </w:r>
      <w:r w:rsidRPr="00BF7506">
        <w:rPr>
          <w:rFonts w:asciiTheme="minorHAnsi" w:eastAsiaTheme="minorEastAsia" w:hAnsiTheme="minorHAnsi" w:cstheme="minorBidi"/>
          <w:b w:val="0"/>
          <w:sz w:val="24"/>
          <w:szCs w:val="24"/>
        </w:rPr>
        <w:tab/>
      </w:r>
      <w:r w:rsidRPr="00BF7506">
        <w:rPr>
          <w:sz w:val="24"/>
          <w:szCs w:val="24"/>
        </w:rPr>
        <w:t>PURPOSE AND SCOPE OF TESTIMONY</w:t>
      </w:r>
      <w:r w:rsidRPr="00BF7506">
        <w:rPr>
          <w:sz w:val="24"/>
          <w:szCs w:val="24"/>
        </w:rPr>
        <w:tab/>
      </w:r>
      <w:r w:rsidRPr="00BF7506">
        <w:rPr>
          <w:sz w:val="24"/>
          <w:szCs w:val="24"/>
        </w:rPr>
        <w:fldChar w:fldCharType="begin"/>
      </w:r>
      <w:r w:rsidRPr="00BF7506">
        <w:rPr>
          <w:sz w:val="24"/>
          <w:szCs w:val="24"/>
        </w:rPr>
        <w:instrText xml:space="preserve"> PAGEREF _Toc11156106 \h </w:instrText>
      </w:r>
      <w:r w:rsidRPr="00BF7506">
        <w:rPr>
          <w:sz w:val="24"/>
          <w:szCs w:val="24"/>
        </w:rPr>
      </w:r>
      <w:r w:rsidRPr="00BF7506">
        <w:rPr>
          <w:sz w:val="24"/>
          <w:szCs w:val="24"/>
        </w:rPr>
        <w:fldChar w:fldCharType="separate"/>
      </w:r>
      <w:r w:rsidR="005D38FC">
        <w:rPr>
          <w:sz w:val="24"/>
          <w:szCs w:val="24"/>
        </w:rPr>
        <w:t>5</w:t>
      </w:r>
      <w:r w:rsidRPr="00BF7506">
        <w:rPr>
          <w:sz w:val="24"/>
          <w:szCs w:val="24"/>
        </w:rPr>
        <w:fldChar w:fldCharType="end"/>
      </w:r>
    </w:p>
    <w:p w:rsidR="00BF7506" w:rsidRPr="00BF7506" w:rsidRDefault="00BF7506">
      <w:pPr>
        <w:pStyle w:val="TOC1"/>
        <w:rPr>
          <w:rFonts w:asciiTheme="minorHAnsi" w:eastAsiaTheme="minorEastAsia" w:hAnsiTheme="minorHAnsi" w:cstheme="minorBidi"/>
          <w:b w:val="0"/>
          <w:sz w:val="24"/>
          <w:szCs w:val="24"/>
        </w:rPr>
      </w:pPr>
      <w:r w:rsidRPr="00BF7506">
        <w:rPr>
          <w:sz w:val="24"/>
          <w:szCs w:val="24"/>
        </w:rPr>
        <w:t>III.</w:t>
      </w:r>
      <w:r w:rsidRPr="00BF7506">
        <w:rPr>
          <w:rFonts w:asciiTheme="minorHAnsi" w:eastAsiaTheme="minorEastAsia" w:hAnsiTheme="minorHAnsi" w:cstheme="minorBidi"/>
          <w:b w:val="0"/>
          <w:sz w:val="24"/>
          <w:szCs w:val="24"/>
        </w:rPr>
        <w:tab/>
      </w:r>
      <w:r w:rsidRPr="00BF7506">
        <w:rPr>
          <w:sz w:val="24"/>
          <w:szCs w:val="24"/>
        </w:rPr>
        <w:t>SUMMARY OF CENTERPOINT’S REQUEST</w:t>
      </w:r>
      <w:r w:rsidRPr="00BF7506">
        <w:rPr>
          <w:sz w:val="24"/>
          <w:szCs w:val="24"/>
        </w:rPr>
        <w:tab/>
      </w:r>
      <w:r w:rsidRPr="00BF7506">
        <w:rPr>
          <w:sz w:val="24"/>
          <w:szCs w:val="24"/>
        </w:rPr>
        <w:fldChar w:fldCharType="begin"/>
      </w:r>
      <w:r w:rsidRPr="00BF7506">
        <w:rPr>
          <w:sz w:val="24"/>
          <w:szCs w:val="24"/>
        </w:rPr>
        <w:instrText xml:space="preserve"> PAGEREF _Toc11156107 \h </w:instrText>
      </w:r>
      <w:r w:rsidRPr="00BF7506">
        <w:rPr>
          <w:sz w:val="24"/>
          <w:szCs w:val="24"/>
        </w:rPr>
      </w:r>
      <w:r w:rsidRPr="00BF7506">
        <w:rPr>
          <w:sz w:val="24"/>
          <w:szCs w:val="24"/>
        </w:rPr>
        <w:fldChar w:fldCharType="separate"/>
      </w:r>
      <w:r w:rsidR="005D38FC">
        <w:rPr>
          <w:sz w:val="24"/>
          <w:szCs w:val="24"/>
        </w:rPr>
        <w:t>7</w:t>
      </w:r>
      <w:r w:rsidRPr="00BF7506">
        <w:rPr>
          <w:sz w:val="24"/>
          <w:szCs w:val="24"/>
        </w:rPr>
        <w:fldChar w:fldCharType="end"/>
      </w:r>
    </w:p>
    <w:p w:rsidR="00BF7506" w:rsidRPr="00BF7506" w:rsidRDefault="00BF7506">
      <w:pPr>
        <w:pStyle w:val="TOC1"/>
        <w:rPr>
          <w:rFonts w:asciiTheme="minorHAnsi" w:eastAsiaTheme="minorEastAsia" w:hAnsiTheme="minorHAnsi" w:cstheme="minorBidi"/>
          <w:b w:val="0"/>
          <w:sz w:val="24"/>
          <w:szCs w:val="24"/>
        </w:rPr>
      </w:pPr>
      <w:r w:rsidRPr="00BF7506">
        <w:rPr>
          <w:sz w:val="24"/>
          <w:szCs w:val="24"/>
        </w:rPr>
        <w:t>IV.</w:t>
      </w:r>
      <w:r w:rsidRPr="00BF7506">
        <w:rPr>
          <w:rFonts w:asciiTheme="minorHAnsi" w:eastAsiaTheme="minorEastAsia" w:hAnsiTheme="minorHAnsi" w:cstheme="minorBidi"/>
          <w:b w:val="0"/>
          <w:sz w:val="24"/>
          <w:szCs w:val="24"/>
        </w:rPr>
        <w:tab/>
      </w:r>
      <w:r w:rsidRPr="00BF7506">
        <w:rPr>
          <w:sz w:val="24"/>
          <w:szCs w:val="24"/>
        </w:rPr>
        <w:t>SUMMARY OF STAFF’S RECOMMENDATION</w:t>
      </w:r>
      <w:r w:rsidRPr="00BF7506">
        <w:rPr>
          <w:sz w:val="24"/>
          <w:szCs w:val="24"/>
        </w:rPr>
        <w:tab/>
      </w:r>
      <w:r w:rsidRPr="00BF7506">
        <w:rPr>
          <w:sz w:val="24"/>
          <w:szCs w:val="24"/>
        </w:rPr>
        <w:fldChar w:fldCharType="begin"/>
      </w:r>
      <w:r w:rsidRPr="00BF7506">
        <w:rPr>
          <w:sz w:val="24"/>
          <w:szCs w:val="24"/>
        </w:rPr>
        <w:instrText xml:space="preserve"> PAGEREF _Toc11156108 \h </w:instrText>
      </w:r>
      <w:r w:rsidRPr="00BF7506">
        <w:rPr>
          <w:sz w:val="24"/>
          <w:szCs w:val="24"/>
        </w:rPr>
      </w:r>
      <w:r w:rsidRPr="00BF7506">
        <w:rPr>
          <w:sz w:val="24"/>
          <w:szCs w:val="24"/>
        </w:rPr>
        <w:fldChar w:fldCharType="separate"/>
      </w:r>
      <w:r w:rsidR="005D38FC">
        <w:rPr>
          <w:sz w:val="24"/>
          <w:szCs w:val="24"/>
        </w:rPr>
        <w:t>9</w:t>
      </w:r>
      <w:r w:rsidRPr="00BF7506">
        <w:rPr>
          <w:sz w:val="24"/>
          <w:szCs w:val="24"/>
        </w:rPr>
        <w:fldChar w:fldCharType="end"/>
      </w:r>
    </w:p>
    <w:p w:rsidR="00BF7506" w:rsidRPr="00BF7506" w:rsidRDefault="00BF7506">
      <w:pPr>
        <w:pStyle w:val="TOC1"/>
        <w:rPr>
          <w:rFonts w:asciiTheme="minorHAnsi" w:eastAsiaTheme="minorEastAsia" w:hAnsiTheme="minorHAnsi" w:cstheme="minorBidi"/>
          <w:b w:val="0"/>
          <w:sz w:val="24"/>
          <w:szCs w:val="24"/>
        </w:rPr>
      </w:pPr>
      <w:r w:rsidRPr="00BF7506">
        <w:rPr>
          <w:sz w:val="24"/>
          <w:szCs w:val="24"/>
        </w:rPr>
        <w:t>V.</w:t>
      </w:r>
      <w:r w:rsidRPr="00BF7506">
        <w:rPr>
          <w:rFonts w:asciiTheme="minorHAnsi" w:eastAsiaTheme="minorEastAsia" w:hAnsiTheme="minorHAnsi" w:cstheme="minorBidi"/>
          <w:b w:val="0"/>
          <w:sz w:val="24"/>
          <w:szCs w:val="24"/>
        </w:rPr>
        <w:tab/>
      </w:r>
      <w:r w:rsidRPr="00BF7506">
        <w:rPr>
          <w:sz w:val="24"/>
          <w:szCs w:val="24"/>
        </w:rPr>
        <w:t>ADJUSTMENTS TO CENTERPOINT’S REQUEST</w:t>
      </w:r>
      <w:r w:rsidRPr="00BF7506">
        <w:rPr>
          <w:sz w:val="24"/>
          <w:szCs w:val="24"/>
        </w:rPr>
        <w:tab/>
      </w:r>
      <w:r w:rsidRPr="00BF7506">
        <w:rPr>
          <w:sz w:val="24"/>
          <w:szCs w:val="24"/>
        </w:rPr>
        <w:fldChar w:fldCharType="begin"/>
      </w:r>
      <w:r w:rsidRPr="00BF7506">
        <w:rPr>
          <w:sz w:val="24"/>
          <w:szCs w:val="24"/>
        </w:rPr>
        <w:instrText xml:space="preserve"> PAGEREF _Toc11156109 \h </w:instrText>
      </w:r>
      <w:r w:rsidRPr="00BF7506">
        <w:rPr>
          <w:sz w:val="24"/>
          <w:szCs w:val="24"/>
        </w:rPr>
      </w:r>
      <w:r w:rsidRPr="00BF7506">
        <w:rPr>
          <w:sz w:val="24"/>
          <w:szCs w:val="24"/>
        </w:rPr>
        <w:fldChar w:fldCharType="separate"/>
      </w:r>
      <w:r w:rsidR="005D38FC">
        <w:rPr>
          <w:sz w:val="24"/>
          <w:szCs w:val="24"/>
        </w:rPr>
        <w:t>10</w:t>
      </w:r>
      <w:r w:rsidRPr="00BF7506">
        <w:rPr>
          <w:sz w:val="24"/>
          <w:szCs w:val="24"/>
        </w:rPr>
        <w:fldChar w:fldCharType="end"/>
      </w:r>
    </w:p>
    <w:p w:rsidR="00BF7506" w:rsidRPr="00BF7506" w:rsidRDefault="00BF7506">
      <w:pPr>
        <w:pStyle w:val="TOC2"/>
        <w:rPr>
          <w:rFonts w:asciiTheme="minorHAnsi" w:eastAsiaTheme="minorEastAsia" w:hAnsiTheme="minorHAnsi" w:cstheme="minorBidi"/>
          <w:bCs w:val="0"/>
        </w:rPr>
      </w:pPr>
      <w:r w:rsidRPr="00BF7506">
        <w:t>A.</w:t>
      </w:r>
      <w:r w:rsidRPr="00BF7506">
        <w:rPr>
          <w:rFonts w:asciiTheme="minorHAnsi" w:eastAsiaTheme="minorEastAsia" w:hAnsiTheme="minorHAnsi" w:cstheme="minorBidi"/>
          <w:bCs w:val="0"/>
        </w:rPr>
        <w:tab/>
      </w:r>
      <w:r w:rsidRPr="00BF7506">
        <w:t>Incentive Compensation</w:t>
      </w:r>
      <w:r w:rsidRPr="00BF7506">
        <w:tab/>
      </w:r>
      <w:r w:rsidRPr="00BF7506">
        <w:fldChar w:fldCharType="begin"/>
      </w:r>
      <w:r w:rsidRPr="00BF7506">
        <w:instrText xml:space="preserve"> PAGEREF _Toc11156110 \h </w:instrText>
      </w:r>
      <w:r w:rsidRPr="00BF7506">
        <w:fldChar w:fldCharType="separate"/>
      </w:r>
      <w:r w:rsidR="005D38FC">
        <w:t>10</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B.</w:t>
      </w:r>
      <w:r w:rsidRPr="00BF7506">
        <w:rPr>
          <w:rFonts w:asciiTheme="minorHAnsi" w:eastAsiaTheme="minorEastAsia" w:hAnsiTheme="minorHAnsi" w:cstheme="minorBidi"/>
          <w:bCs w:val="0"/>
        </w:rPr>
        <w:tab/>
      </w:r>
      <w:r w:rsidRPr="00BF7506">
        <w:t>Supplemental (Non-Qualified) Pension Expense</w:t>
      </w:r>
      <w:r w:rsidRPr="00BF7506">
        <w:tab/>
      </w:r>
      <w:r w:rsidRPr="00BF7506">
        <w:fldChar w:fldCharType="begin"/>
      </w:r>
      <w:r w:rsidRPr="00BF7506">
        <w:instrText xml:space="preserve"> PAGEREF _Toc11156111 \h </w:instrText>
      </w:r>
      <w:r w:rsidRPr="00BF7506">
        <w:fldChar w:fldCharType="separate"/>
      </w:r>
      <w:r w:rsidR="005D38FC">
        <w:t>18</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C.</w:t>
      </w:r>
      <w:r w:rsidRPr="00BF7506">
        <w:rPr>
          <w:rFonts w:asciiTheme="minorHAnsi" w:eastAsiaTheme="minorEastAsia" w:hAnsiTheme="minorHAnsi" w:cstheme="minorBidi"/>
          <w:bCs w:val="0"/>
        </w:rPr>
        <w:tab/>
      </w:r>
      <w:r w:rsidRPr="00BF7506">
        <w:t>Injuries and Damages</w:t>
      </w:r>
      <w:r w:rsidRPr="00BF7506">
        <w:tab/>
      </w:r>
      <w:r w:rsidRPr="00BF7506">
        <w:fldChar w:fldCharType="begin"/>
      </w:r>
      <w:r w:rsidRPr="00BF7506">
        <w:instrText xml:space="preserve"> PAGEREF _Toc11156112 \h </w:instrText>
      </w:r>
      <w:r w:rsidRPr="00BF7506">
        <w:fldChar w:fldCharType="separate"/>
      </w:r>
      <w:r w:rsidR="005D38FC">
        <w:t>21</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D.</w:t>
      </w:r>
      <w:r w:rsidRPr="00BF7506">
        <w:rPr>
          <w:rFonts w:asciiTheme="minorHAnsi" w:eastAsiaTheme="minorEastAsia" w:hAnsiTheme="minorHAnsi" w:cstheme="minorBidi"/>
          <w:bCs w:val="0"/>
        </w:rPr>
        <w:tab/>
      </w:r>
      <w:r w:rsidRPr="00BF7506">
        <w:t>Known and Measurable Reduction in Force from Vectren Acquisition</w:t>
      </w:r>
      <w:r w:rsidRPr="00BF7506">
        <w:tab/>
      </w:r>
      <w:r w:rsidRPr="00BF7506">
        <w:fldChar w:fldCharType="begin"/>
      </w:r>
      <w:r w:rsidRPr="00BF7506">
        <w:instrText xml:space="preserve"> PAGEREF _Toc11156113 \h </w:instrText>
      </w:r>
      <w:r w:rsidRPr="00BF7506">
        <w:fldChar w:fldCharType="separate"/>
      </w:r>
      <w:r w:rsidR="005D38FC">
        <w:t>25</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E.</w:t>
      </w:r>
      <w:r w:rsidRPr="00BF7506">
        <w:rPr>
          <w:rFonts w:asciiTheme="minorHAnsi" w:eastAsiaTheme="minorEastAsia" w:hAnsiTheme="minorHAnsi" w:cstheme="minorBidi"/>
          <w:bCs w:val="0"/>
        </w:rPr>
        <w:tab/>
      </w:r>
      <w:r w:rsidRPr="00BF7506">
        <w:t>Affiliate Adjustments – Carrying Charges on Shared Assets</w:t>
      </w:r>
      <w:r w:rsidRPr="00BF7506">
        <w:tab/>
      </w:r>
      <w:r w:rsidRPr="00BF7506">
        <w:fldChar w:fldCharType="begin"/>
      </w:r>
      <w:r w:rsidRPr="00BF7506">
        <w:instrText xml:space="preserve"> PAGEREF _Toc11156114 \h </w:instrText>
      </w:r>
      <w:r w:rsidRPr="00BF7506">
        <w:fldChar w:fldCharType="separate"/>
      </w:r>
      <w:r w:rsidR="005D38FC">
        <w:t>26</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F.</w:t>
      </w:r>
      <w:r w:rsidRPr="00BF7506">
        <w:rPr>
          <w:rFonts w:asciiTheme="minorHAnsi" w:eastAsiaTheme="minorEastAsia" w:hAnsiTheme="minorHAnsi" w:cstheme="minorBidi"/>
          <w:bCs w:val="0"/>
        </w:rPr>
        <w:tab/>
      </w:r>
      <w:r w:rsidRPr="00BF7506">
        <w:t>Regulatory Asset for Texas Margins Tax</w:t>
      </w:r>
      <w:r w:rsidRPr="00BF7506">
        <w:tab/>
      </w:r>
      <w:r w:rsidRPr="00BF7506">
        <w:fldChar w:fldCharType="begin"/>
      </w:r>
      <w:r w:rsidRPr="00BF7506">
        <w:instrText xml:space="preserve"> PAGEREF _Toc11156115 \h </w:instrText>
      </w:r>
      <w:r w:rsidRPr="00BF7506">
        <w:fldChar w:fldCharType="separate"/>
      </w:r>
      <w:r w:rsidR="005D38FC">
        <w:t>28</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G.</w:t>
      </w:r>
      <w:r w:rsidRPr="00BF7506">
        <w:rPr>
          <w:rFonts w:asciiTheme="minorHAnsi" w:eastAsiaTheme="minorEastAsia" w:hAnsiTheme="minorHAnsi" w:cstheme="minorBidi"/>
          <w:bCs w:val="0"/>
        </w:rPr>
        <w:tab/>
      </w:r>
      <w:r w:rsidRPr="00BF7506">
        <w:t>Amortization of All Regulatory Assets and Liabilities</w:t>
      </w:r>
      <w:r w:rsidRPr="00BF7506">
        <w:tab/>
      </w:r>
      <w:r w:rsidRPr="00BF7506">
        <w:fldChar w:fldCharType="begin"/>
      </w:r>
      <w:r w:rsidRPr="00BF7506">
        <w:instrText xml:space="preserve"> PAGEREF _Toc11156116 \h </w:instrText>
      </w:r>
      <w:r w:rsidRPr="00BF7506">
        <w:fldChar w:fldCharType="separate"/>
      </w:r>
      <w:r w:rsidR="005D38FC">
        <w:t>31</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H.</w:t>
      </w:r>
      <w:r w:rsidRPr="00BF7506">
        <w:rPr>
          <w:rFonts w:asciiTheme="minorHAnsi" w:eastAsiaTheme="minorEastAsia" w:hAnsiTheme="minorHAnsi" w:cstheme="minorBidi"/>
          <w:bCs w:val="0"/>
        </w:rPr>
        <w:tab/>
      </w:r>
      <w:r w:rsidRPr="00BF7506">
        <w:t>Adjustments Recommended by Other Staff Witnesses</w:t>
      </w:r>
      <w:r w:rsidRPr="00BF7506">
        <w:tab/>
      </w:r>
      <w:r w:rsidRPr="00BF7506">
        <w:fldChar w:fldCharType="begin"/>
      </w:r>
      <w:r w:rsidRPr="00BF7506">
        <w:instrText xml:space="preserve"> PAGEREF _Toc11156117 \h </w:instrText>
      </w:r>
      <w:r w:rsidRPr="00BF7506">
        <w:fldChar w:fldCharType="separate"/>
      </w:r>
      <w:r w:rsidR="005D38FC">
        <w:t>32</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I.</w:t>
      </w:r>
      <w:r w:rsidRPr="00BF7506">
        <w:rPr>
          <w:rFonts w:asciiTheme="minorHAnsi" w:eastAsiaTheme="minorEastAsia" w:hAnsiTheme="minorHAnsi" w:cstheme="minorBidi"/>
          <w:bCs w:val="0"/>
        </w:rPr>
        <w:tab/>
      </w:r>
      <w:r w:rsidRPr="00BF7506">
        <w:rPr>
          <w:i/>
        </w:rPr>
        <w:t>Ad Valorem</w:t>
      </w:r>
      <w:r w:rsidRPr="00BF7506">
        <w:t xml:space="preserve"> Taxes</w:t>
      </w:r>
      <w:r w:rsidRPr="00BF7506">
        <w:tab/>
      </w:r>
      <w:r w:rsidRPr="00BF7506">
        <w:fldChar w:fldCharType="begin"/>
      </w:r>
      <w:r w:rsidRPr="00BF7506">
        <w:instrText xml:space="preserve"> PAGEREF _Toc11156118 \h </w:instrText>
      </w:r>
      <w:r w:rsidRPr="00BF7506">
        <w:fldChar w:fldCharType="separate"/>
      </w:r>
      <w:r w:rsidR="005D38FC">
        <w:t>33</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J.</w:t>
      </w:r>
      <w:r w:rsidRPr="00BF7506">
        <w:rPr>
          <w:rFonts w:asciiTheme="minorHAnsi" w:eastAsiaTheme="minorEastAsia" w:hAnsiTheme="minorHAnsi" w:cstheme="minorBidi"/>
          <w:bCs w:val="0"/>
        </w:rPr>
        <w:tab/>
      </w:r>
      <w:r w:rsidRPr="00BF7506">
        <w:t>Texas Margins Tax</w:t>
      </w:r>
      <w:r w:rsidRPr="00BF7506">
        <w:tab/>
      </w:r>
      <w:r w:rsidRPr="00BF7506">
        <w:fldChar w:fldCharType="begin"/>
      </w:r>
      <w:r w:rsidRPr="00BF7506">
        <w:instrText xml:space="preserve"> PAGEREF _Toc11156119 \h </w:instrText>
      </w:r>
      <w:r w:rsidRPr="00BF7506">
        <w:fldChar w:fldCharType="separate"/>
      </w:r>
      <w:r w:rsidR="005D38FC">
        <w:t>34</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K.</w:t>
      </w:r>
      <w:r w:rsidRPr="00BF7506">
        <w:rPr>
          <w:rFonts w:asciiTheme="minorHAnsi" w:eastAsiaTheme="minorEastAsia" w:hAnsiTheme="minorHAnsi" w:cstheme="minorBidi"/>
          <w:bCs w:val="0"/>
        </w:rPr>
        <w:tab/>
      </w:r>
      <w:r w:rsidRPr="00BF7506">
        <w:t>Payroll Taxes</w:t>
      </w:r>
      <w:r w:rsidRPr="00BF7506">
        <w:tab/>
      </w:r>
      <w:r w:rsidRPr="00BF7506">
        <w:fldChar w:fldCharType="begin"/>
      </w:r>
      <w:r w:rsidRPr="00BF7506">
        <w:instrText xml:space="preserve"> PAGEREF _Toc11156120 \h </w:instrText>
      </w:r>
      <w:r w:rsidRPr="00BF7506">
        <w:fldChar w:fldCharType="separate"/>
      </w:r>
      <w:r w:rsidR="005D38FC">
        <w:t>35</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L.</w:t>
      </w:r>
      <w:r w:rsidRPr="00BF7506">
        <w:rPr>
          <w:rFonts w:asciiTheme="minorHAnsi" w:eastAsiaTheme="minorEastAsia" w:hAnsiTheme="minorHAnsi" w:cstheme="minorBidi"/>
          <w:bCs w:val="0"/>
        </w:rPr>
        <w:tab/>
      </w:r>
      <w:r w:rsidRPr="00BF7506">
        <w:t>Federal Income Tax Expense</w:t>
      </w:r>
      <w:r w:rsidRPr="00BF7506">
        <w:tab/>
      </w:r>
      <w:r w:rsidRPr="00BF7506">
        <w:fldChar w:fldCharType="begin"/>
      </w:r>
      <w:r w:rsidRPr="00BF7506">
        <w:instrText xml:space="preserve"> PAGEREF _Toc11156121 \h </w:instrText>
      </w:r>
      <w:r w:rsidRPr="00BF7506">
        <w:fldChar w:fldCharType="separate"/>
      </w:r>
      <w:r w:rsidR="005D38FC">
        <w:t>36</w:t>
      </w:r>
      <w:r w:rsidRPr="00BF7506">
        <w:fldChar w:fldCharType="end"/>
      </w:r>
    </w:p>
    <w:p w:rsidR="00BF7506" w:rsidRPr="00BF7506" w:rsidRDefault="00BF7506">
      <w:pPr>
        <w:pStyle w:val="TOC2"/>
        <w:rPr>
          <w:rFonts w:asciiTheme="minorHAnsi" w:eastAsiaTheme="minorEastAsia" w:hAnsiTheme="minorHAnsi" w:cstheme="minorBidi"/>
          <w:bCs w:val="0"/>
        </w:rPr>
      </w:pPr>
      <w:r w:rsidRPr="00BF7506">
        <w:t>M.</w:t>
      </w:r>
      <w:r w:rsidRPr="00BF7506">
        <w:rPr>
          <w:rFonts w:asciiTheme="minorHAnsi" w:eastAsiaTheme="minorEastAsia" w:hAnsiTheme="minorHAnsi" w:cstheme="minorBidi"/>
          <w:bCs w:val="0"/>
        </w:rPr>
        <w:tab/>
      </w:r>
      <w:r w:rsidRPr="00BF7506">
        <w:t xml:space="preserve"> Cash Working Capital</w:t>
      </w:r>
      <w:r w:rsidRPr="00BF7506">
        <w:tab/>
      </w:r>
      <w:r w:rsidRPr="00BF7506">
        <w:fldChar w:fldCharType="begin"/>
      </w:r>
      <w:r w:rsidRPr="00BF7506">
        <w:instrText xml:space="preserve"> PAGEREF _Toc11156122 \h </w:instrText>
      </w:r>
      <w:r w:rsidRPr="00BF7506">
        <w:fldChar w:fldCharType="separate"/>
      </w:r>
      <w:r w:rsidR="005D38FC">
        <w:t>37</w:t>
      </w:r>
      <w:r w:rsidRPr="00BF7506">
        <w:fldChar w:fldCharType="end"/>
      </w:r>
    </w:p>
    <w:p w:rsidR="00D23415" w:rsidRPr="000C339F" w:rsidRDefault="00D23415" w:rsidP="00287348">
      <w:pPr>
        <w:rPr>
          <w:b/>
        </w:rPr>
      </w:pPr>
      <w:r w:rsidRPr="00BF7506">
        <w:rPr>
          <w:rFonts w:ascii="Times" w:eastAsia="Times New Roman" w:hAnsi="Times"/>
          <w:szCs w:val="24"/>
        </w:rPr>
        <w:fldChar w:fldCharType="end"/>
      </w:r>
      <w:r w:rsidRPr="00D23415">
        <w:br w:type="page"/>
      </w:r>
      <w:r w:rsidRPr="000C339F">
        <w:rPr>
          <w:b/>
        </w:rPr>
        <w:lastRenderedPageBreak/>
        <w:t>ATTACHMENTS</w:t>
      </w:r>
    </w:p>
    <w:p w:rsidR="000C339F" w:rsidRPr="000C339F" w:rsidRDefault="00D23415" w:rsidP="002D316E">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b/>
          <w:szCs w:val="24"/>
          <w:u w:val="single"/>
        </w:rPr>
      </w:pPr>
      <w:r w:rsidRPr="00D23415">
        <w:rPr>
          <w:rFonts w:ascii="Times" w:eastAsia="Times New Roman" w:hAnsi="Times" w:cs="Times New Roman"/>
          <w:szCs w:val="24"/>
        </w:rPr>
        <w:tab/>
      </w:r>
      <w:r w:rsidR="000C339F" w:rsidRPr="000C339F">
        <w:rPr>
          <w:rFonts w:ascii="Times" w:eastAsia="Times New Roman" w:hAnsi="Times" w:cs="Times New Roman"/>
          <w:b/>
          <w:szCs w:val="24"/>
          <w:u w:val="single"/>
        </w:rPr>
        <w:t>Attachments Relating to Staff’s Revenue Requirement Model</w:t>
      </w:r>
    </w:p>
    <w:p w:rsidR="002D316E" w:rsidRDefault="000C339F" w:rsidP="002D316E">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r>
      <w:r w:rsidR="00C8088A">
        <w:rPr>
          <w:rFonts w:ascii="Times" w:eastAsia="Times New Roman" w:hAnsi="Times" w:cs="Times New Roman"/>
          <w:szCs w:val="24"/>
        </w:rPr>
        <w:t>MF</w:t>
      </w:r>
      <w:r w:rsidR="00E2301D">
        <w:rPr>
          <w:rFonts w:ascii="Times" w:eastAsia="Times New Roman" w:hAnsi="Times" w:cs="Times New Roman"/>
          <w:szCs w:val="24"/>
        </w:rPr>
        <w:t>-1</w:t>
      </w:r>
      <w:r w:rsidR="00E2301D">
        <w:rPr>
          <w:rFonts w:ascii="Times" w:eastAsia="Times New Roman" w:hAnsi="Times" w:cs="Times New Roman"/>
          <w:szCs w:val="24"/>
        </w:rPr>
        <w:tab/>
      </w:r>
      <w:r w:rsidR="00E2301D">
        <w:rPr>
          <w:rFonts w:ascii="Times" w:eastAsia="Times New Roman" w:hAnsi="Times" w:cs="Times New Roman"/>
          <w:szCs w:val="24"/>
        </w:rPr>
        <w:tab/>
      </w:r>
      <w:r w:rsidR="002D316E">
        <w:rPr>
          <w:rFonts w:ascii="Times" w:eastAsia="Times New Roman" w:hAnsi="Times" w:cs="Times New Roman"/>
          <w:szCs w:val="24"/>
        </w:rPr>
        <w:t>Staff’s Revenue Requirement Model</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MF-2</w:t>
      </w:r>
      <w:r>
        <w:rPr>
          <w:rFonts w:ascii="Times" w:eastAsia="Times New Roman" w:hAnsi="Times" w:cs="Times New Roman"/>
          <w:szCs w:val="24"/>
        </w:rPr>
        <w:tab/>
      </w:r>
      <w:r>
        <w:rPr>
          <w:rFonts w:ascii="Times" w:eastAsia="Times New Roman" w:hAnsi="Times" w:cs="Times New Roman"/>
          <w:szCs w:val="24"/>
        </w:rPr>
        <w:tab/>
        <w:t>Staff’s Depreciation Expense Worksheet</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MF-3</w:t>
      </w:r>
      <w:r>
        <w:rPr>
          <w:rFonts w:ascii="Times" w:eastAsia="Times New Roman" w:hAnsi="Times" w:cs="Times New Roman"/>
          <w:szCs w:val="24"/>
        </w:rPr>
        <w:tab/>
      </w:r>
      <w:r>
        <w:rPr>
          <w:rFonts w:ascii="Times" w:eastAsia="Times New Roman" w:hAnsi="Times" w:cs="Times New Roman"/>
          <w:szCs w:val="24"/>
        </w:rPr>
        <w:tab/>
        <w:t>Staff’s Operation and Maintenance Expense Worksheet</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MF-4</w:t>
      </w:r>
      <w:r>
        <w:rPr>
          <w:rFonts w:ascii="Times" w:eastAsia="Times New Roman" w:hAnsi="Times" w:cs="Times New Roman"/>
          <w:szCs w:val="24"/>
        </w:rPr>
        <w:tab/>
      </w:r>
      <w:r>
        <w:rPr>
          <w:rFonts w:ascii="Times" w:eastAsia="Times New Roman" w:hAnsi="Times" w:cs="Times New Roman"/>
          <w:szCs w:val="24"/>
        </w:rPr>
        <w:tab/>
        <w:t>Staff’s Incentive Compensation Worksheet</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MF-5</w:t>
      </w:r>
      <w:r>
        <w:rPr>
          <w:rFonts w:ascii="Times" w:eastAsia="Times New Roman" w:hAnsi="Times" w:cs="Times New Roman"/>
          <w:szCs w:val="24"/>
        </w:rPr>
        <w:tab/>
      </w:r>
      <w:r>
        <w:rPr>
          <w:rFonts w:ascii="Times" w:eastAsia="Times New Roman" w:hAnsi="Times" w:cs="Times New Roman"/>
          <w:szCs w:val="24"/>
        </w:rPr>
        <w:tab/>
        <w:t xml:space="preserve">Staff’s </w:t>
      </w:r>
      <w:r w:rsidR="005F0F41">
        <w:rPr>
          <w:rFonts w:ascii="Times" w:eastAsia="Times New Roman" w:hAnsi="Times" w:cs="Times New Roman"/>
          <w:szCs w:val="24"/>
        </w:rPr>
        <w:t>Injuries and Damages</w:t>
      </w:r>
      <w:r>
        <w:rPr>
          <w:rFonts w:ascii="Times" w:eastAsia="Times New Roman" w:hAnsi="Times" w:cs="Times New Roman"/>
          <w:szCs w:val="24"/>
        </w:rPr>
        <w:t xml:space="preserve"> Worksheet</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MF-6</w:t>
      </w:r>
      <w:r>
        <w:rPr>
          <w:rFonts w:ascii="Times" w:eastAsia="Times New Roman" w:hAnsi="Times" w:cs="Times New Roman"/>
          <w:szCs w:val="24"/>
        </w:rPr>
        <w:tab/>
      </w:r>
      <w:r>
        <w:rPr>
          <w:rFonts w:ascii="Times" w:eastAsia="Times New Roman" w:hAnsi="Times" w:cs="Times New Roman"/>
          <w:szCs w:val="24"/>
        </w:rPr>
        <w:tab/>
        <w:t xml:space="preserve">Staff’s </w:t>
      </w:r>
      <w:r w:rsidR="005F0F41">
        <w:rPr>
          <w:rFonts w:ascii="Times" w:eastAsia="Times New Roman" w:hAnsi="Times" w:cs="Times New Roman"/>
          <w:szCs w:val="24"/>
        </w:rPr>
        <w:t>Regulatory Assets and Liabilities</w:t>
      </w:r>
      <w:r>
        <w:rPr>
          <w:rFonts w:ascii="Times" w:eastAsia="Times New Roman" w:hAnsi="Times" w:cs="Times New Roman"/>
          <w:szCs w:val="24"/>
        </w:rPr>
        <w:t xml:space="preserve"> Worksheet</w:t>
      </w:r>
    </w:p>
    <w:p w:rsidR="005F0F41" w:rsidRDefault="005F0F41" w:rsidP="005F0F4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MF-7</w:t>
      </w:r>
      <w:r>
        <w:rPr>
          <w:rFonts w:ascii="Times" w:eastAsia="Times New Roman" w:hAnsi="Times" w:cs="Times New Roman"/>
          <w:szCs w:val="24"/>
        </w:rPr>
        <w:tab/>
      </w:r>
      <w:r>
        <w:rPr>
          <w:rFonts w:ascii="Times" w:eastAsia="Times New Roman" w:hAnsi="Times" w:cs="Times New Roman"/>
          <w:szCs w:val="24"/>
        </w:rPr>
        <w:tab/>
        <w:t xml:space="preserve">Staff’s </w:t>
      </w:r>
      <w:r w:rsidRPr="005F0F41">
        <w:rPr>
          <w:rFonts w:ascii="Times" w:eastAsia="Times New Roman" w:hAnsi="Times" w:cs="Times New Roman"/>
          <w:i/>
          <w:szCs w:val="24"/>
        </w:rPr>
        <w:t>Ad Valorem</w:t>
      </w:r>
      <w:r>
        <w:rPr>
          <w:rFonts w:ascii="Times" w:eastAsia="Times New Roman" w:hAnsi="Times" w:cs="Times New Roman"/>
          <w:szCs w:val="24"/>
        </w:rPr>
        <w:t xml:space="preserve"> Tax Worksheet</w:t>
      </w:r>
    </w:p>
    <w:p w:rsidR="005F0F41" w:rsidRDefault="005F0F41" w:rsidP="005F0F4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MF-8</w:t>
      </w:r>
      <w:r>
        <w:rPr>
          <w:rFonts w:ascii="Times" w:eastAsia="Times New Roman" w:hAnsi="Times" w:cs="Times New Roman"/>
          <w:szCs w:val="24"/>
        </w:rPr>
        <w:tab/>
      </w:r>
      <w:r>
        <w:rPr>
          <w:rFonts w:ascii="Times" w:eastAsia="Times New Roman" w:hAnsi="Times" w:cs="Times New Roman"/>
          <w:szCs w:val="24"/>
        </w:rPr>
        <w:tab/>
        <w:t>Staff’s Texas Margins Tax Worksheet</w:t>
      </w:r>
    </w:p>
    <w:p w:rsidR="005F0F41" w:rsidRDefault="005F0F41" w:rsidP="005F0F4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MF-9</w:t>
      </w:r>
      <w:r>
        <w:rPr>
          <w:rFonts w:ascii="Times" w:eastAsia="Times New Roman" w:hAnsi="Times" w:cs="Times New Roman"/>
          <w:szCs w:val="24"/>
        </w:rPr>
        <w:tab/>
      </w:r>
      <w:r>
        <w:rPr>
          <w:rFonts w:ascii="Times" w:eastAsia="Times New Roman" w:hAnsi="Times" w:cs="Times New Roman"/>
          <w:szCs w:val="24"/>
        </w:rPr>
        <w:tab/>
        <w:t>Staff’s Cash Working Capital Worksheet</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p>
    <w:p w:rsidR="005F0F41" w:rsidRPr="000C339F" w:rsidRDefault="000C339F"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b/>
          <w:szCs w:val="24"/>
          <w:u w:val="single"/>
        </w:rPr>
      </w:pPr>
      <w:r>
        <w:rPr>
          <w:rFonts w:ascii="Times" w:eastAsia="Times New Roman" w:hAnsi="Times" w:cs="Times New Roman"/>
          <w:szCs w:val="24"/>
        </w:rPr>
        <w:tab/>
      </w:r>
      <w:r>
        <w:rPr>
          <w:rFonts w:ascii="Times" w:eastAsia="Times New Roman" w:hAnsi="Times" w:cs="Times New Roman"/>
          <w:b/>
          <w:szCs w:val="24"/>
          <w:u w:val="single"/>
        </w:rPr>
        <w:t>Other Attachments</w:t>
      </w:r>
    </w:p>
    <w:p w:rsidR="002D316E" w:rsidRDefault="002D316E"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w:t>
      </w:r>
      <w:r w:rsidR="005F0F41">
        <w:rPr>
          <w:rFonts w:ascii="Times" w:eastAsia="Times New Roman" w:hAnsi="Times" w:cs="Times New Roman"/>
          <w:szCs w:val="24"/>
        </w:rPr>
        <w:t>0</w:t>
      </w:r>
      <w:r>
        <w:rPr>
          <w:rFonts w:ascii="Times" w:eastAsia="Times New Roman" w:hAnsi="Times" w:cs="Times New Roman"/>
          <w:szCs w:val="24"/>
        </w:rPr>
        <w:tab/>
      </w:r>
      <w:r>
        <w:rPr>
          <w:rFonts w:ascii="Times" w:eastAsia="Times New Roman" w:hAnsi="Times" w:cs="Times New Roman"/>
          <w:szCs w:val="24"/>
        </w:rPr>
        <w:tab/>
        <w:t>List of Previous Testimonies of Mark Filarowicz</w:t>
      </w:r>
    </w:p>
    <w:p w:rsidR="000C339F" w:rsidRDefault="002D316E" w:rsidP="001B630B">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w:t>
      </w:r>
      <w:r w:rsidR="005F0F41">
        <w:rPr>
          <w:rFonts w:ascii="Times" w:eastAsia="Times New Roman" w:hAnsi="Times" w:cs="Times New Roman"/>
          <w:szCs w:val="24"/>
        </w:rPr>
        <w:t>1</w:t>
      </w:r>
      <w:r>
        <w:rPr>
          <w:rFonts w:ascii="Times" w:eastAsia="Times New Roman" w:hAnsi="Times" w:cs="Times New Roman"/>
          <w:szCs w:val="24"/>
        </w:rPr>
        <w:tab/>
      </w:r>
      <w:r>
        <w:rPr>
          <w:rFonts w:ascii="Times" w:eastAsia="Times New Roman" w:hAnsi="Times" w:cs="Times New Roman"/>
          <w:szCs w:val="24"/>
        </w:rPr>
        <w:tab/>
      </w:r>
      <w:r w:rsidR="006F2FDA">
        <w:rPr>
          <w:rFonts w:ascii="Times" w:eastAsia="Times New Roman" w:hAnsi="Times" w:cs="Times New Roman"/>
          <w:szCs w:val="24"/>
        </w:rPr>
        <w:t>Supporting Documents Relating to the Adjustment to Incentive Compensation</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MF-12</w:t>
      </w:r>
      <w:r>
        <w:rPr>
          <w:rFonts w:ascii="Times" w:eastAsia="Times New Roman" w:hAnsi="Times" w:cs="Times New Roman"/>
          <w:szCs w:val="24"/>
        </w:rPr>
        <w:tab/>
      </w:r>
      <w:r>
        <w:rPr>
          <w:rFonts w:ascii="Times" w:eastAsia="Times New Roman" w:hAnsi="Times" w:cs="Times New Roman"/>
          <w:szCs w:val="24"/>
        </w:rPr>
        <w:tab/>
        <w:t>Supporting Documents Relating to the Adjustment to Supplemental (Non-Qualified) Pension Expense</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MF-13</w:t>
      </w:r>
      <w:r>
        <w:rPr>
          <w:rFonts w:ascii="Times" w:eastAsia="Times New Roman" w:hAnsi="Times" w:cs="Times New Roman"/>
          <w:szCs w:val="24"/>
        </w:rPr>
        <w:tab/>
      </w:r>
      <w:r>
        <w:rPr>
          <w:rFonts w:ascii="Times" w:eastAsia="Times New Roman" w:hAnsi="Times" w:cs="Times New Roman"/>
          <w:szCs w:val="24"/>
        </w:rPr>
        <w:tab/>
        <w:t>Supporting Documents Relating to the Adjustment to Injuries and Damages</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MF-14</w:t>
      </w:r>
      <w:r>
        <w:rPr>
          <w:rFonts w:ascii="Times" w:eastAsia="Times New Roman" w:hAnsi="Times" w:cs="Times New Roman"/>
          <w:szCs w:val="24"/>
        </w:rPr>
        <w:tab/>
      </w:r>
      <w:r>
        <w:rPr>
          <w:rFonts w:ascii="Times" w:eastAsia="Times New Roman" w:hAnsi="Times" w:cs="Times New Roman"/>
          <w:szCs w:val="24"/>
        </w:rPr>
        <w:tab/>
        <w:t xml:space="preserve">Supporting Documents Relating to the Adjustment to Reduction in Force from </w:t>
      </w:r>
      <w:proofErr w:type="spellStart"/>
      <w:r>
        <w:rPr>
          <w:rFonts w:ascii="Times" w:eastAsia="Times New Roman" w:hAnsi="Times" w:cs="Times New Roman"/>
          <w:szCs w:val="24"/>
        </w:rPr>
        <w:t>Vectren</w:t>
      </w:r>
      <w:proofErr w:type="spellEnd"/>
      <w:r>
        <w:rPr>
          <w:rFonts w:ascii="Times" w:eastAsia="Times New Roman" w:hAnsi="Times" w:cs="Times New Roman"/>
          <w:szCs w:val="24"/>
        </w:rPr>
        <w:t xml:space="preserve"> Acquisition</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MF-15</w:t>
      </w:r>
      <w:r>
        <w:rPr>
          <w:rFonts w:ascii="Times" w:eastAsia="Times New Roman" w:hAnsi="Times" w:cs="Times New Roman"/>
          <w:szCs w:val="24"/>
        </w:rPr>
        <w:tab/>
      </w:r>
      <w:r>
        <w:rPr>
          <w:rFonts w:ascii="Times" w:eastAsia="Times New Roman" w:hAnsi="Times" w:cs="Times New Roman"/>
          <w:szCs w:val="24"/>
        </w:rPr>
        <w:tab/>
        <w:t>Supporting Documents Relating to the Adjustment to Carrying Charges on Shared Assets</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t>MF-16</w:t>
      </w:r>
      <w:r>
        <w:rPr>
          <w:rFonts w:ascii="Times" w:eastAsia="Times New Roman" w:hAnsi="Times" w:cs="Times New Roman"/>
          <w:szCs w:val="24"/>
        </w:rPr>
        <w:tab/>
      </w:r>
      <w:r>
        <w:rPr>
          <w:rFonts w:ascii="Times" w:eastAsia="Times New Roman" w:hAnsi="Times" w:cs="Times New Roman"/>
          <w:szCs w:val="24"/>
        </w:rPr>
        <w:tab/>
        <w:t>Supporting Documents Relating to the Adjustment to Regulatory Asset for Texas Margins Tax</w:t>
      </w:r>
    </w:p>
    <w:p w:rsidR="006F2FDA" w:rsidRDefault="006F2FDA" w:rsidP="006F2FDA">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r>
    </w:p>
    <w:p w:rsidR="00BB01F4" w:rsidRDefault="004404CD" w:rsidP="00BB01F4">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r>
        <w:rPr>
          <w:rFonts w:ascii="Times" w:eastAsia="Times New Roman" w:hAnsi="Times" w:cs="Times New Roman"/>
          <w:szCs w:val="24"/>
        </w:rPr>
        <w:tab/>
      </w:r>
    </w:p>
    <w:p w:rsidR="00EE06E6" w:rsidRDefault="00EE06E6" w:rsidP="00EE06E6">
      <w:pPr>
        <w:tabs>
          <w:tab w:val="left" w:pos="720"/>
          <w:tab w:val="left" w:pos="1440"/>
          <w:tab w:val="left" w:pos="2160"/>
          <w:tab w:val="right" w:leader="dot" w:pos="9072"/>
        </w:tabs>
        <w:spacing w:after="0" w:line="240" w:lineRule="auto"/>
        <w:ind w:right="-187"/>
        <w:rPr>
          <w:rFonts w:ascii="Times" w:eastAsia="Times New Roman" w:hAnsi="Times" w:cs="Times New Roman"/>
          <w:szCs w:val="24"/>
        </w:rPr>
      </w:pPr>
    </w:p>
    <w:p w:rsidR="004C5CB6" w:rsidRDefault="004C5CB6"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p>
    <w:p w:rsidR="004C5CB6" w:rsidRDefault="004C5CB6" w:rsidP="00840921">
      <w:pPr>
        <w:tabs>
          <w:tab w:val="left" w:pos="720"/>
          <w:tab w:val="left" w:pos="1440"/>
          <w:tab w:val="left" w:pos="2160"/>
          <w:tab w:val="right" w:leader="dot" w:pos="9072"/>
        </w:tabs>
        <w:spacing w:after="0" w:line="240" w:lineRule="auto"/>
        <w:ind w:left="2160" w:right="-187" w:hanging="2160"/>
        <w:rPr>
          <w:rFonts w:ascii="Times" w:eastAsia="Times New Roman" w:hAnsi="Times" w:cs="Times New Roman"/>
          <w:szCs w:val="24"/>
        </w:rPr>
      </w:pPr>
    </w:p>
    <w:p w:rsidR="00D23415" w:rsidRDefault="00D23415" w:rsidP="00D23415">
      <w:pPr>
        <w:tabs>
          <w:tab w:val="right" w:pos="288"/>
          <w:tab w:val="left" w:pos="864"/>
        </w:tabs>
        <w:spacing w:after="0" w:line="480" w:lineRule="exact"/>
        <w:jc w:val="center"/>
        <w:rPr>
          <w:rFonts w:ascii="Times" w:eastAsia="Times New Roman" w:hAnsi="Times" w:cs="Times New Roman"/>
          <w:strike/>
          <w:szCs w:val="24"/>
        </w:rPr>
      </w:pPr>
    </w:p>
    <w:p w:rsidR="004C5CB6" w:rsidRPr="00D23415" w:rsidRDefault="004C5CB6" w:rsidP="00D23415">
      <w:pPr>
        <w:tabs>
          <w:tab w:val="right" w:pos="288"/>
          <w:tab w:val="left" w:pos="864"/>
        </w:tabs>
        <w:spacing w:after="0" w:line="480" w:lineRule="exact"/>
        <w:jc w:val="center"/>
        <w:rPr>
          <w:rFonts w:ascii="Times" w:eastAsia="Times New Roman" w:hAnsi="Times" w:cs="Times New Roman"/>
          <w:szCs w:val="20"/>
        </w:rPr>
        <w:sectPr w:rsidR="004C5CB6" w:rsidRPr="00D23415">
          <w:headerReference w:type="even" r:id="rId16"/>
          <w:headerReference w:type="default" r:id="rId17"/>
          <w:footerReference w:type="default" r:id="rId18"/>
          <w:headerReference w:type="first" r:id="rId19"/>
          <w:pgSz w:w="12240" w:h="15840"/>
          <w:pgMar w:top="1440" w:right="1440" w:bottom="1440" w:left="1440" w:header="720" w:footer="518" w:gutter="0"/>
          <w:cols w:space="720"/>
        </w:sectPr>
      </w:pPr>
    </w:p>
    <w:p w:rsidR="00D23415" w:rsidRPr="00A24D55" w:rsidRDefault="00D23415" w:rsidP="00D61B9D">
      <w:pPr>
        <w:pStyle w:val="Heading1"/>
      </w:pPr>
      <w:bookmarkStart w:id="0" w:name="_Toc11156105"/>
      <w:r w:rsidRPr="00A24D55">
        <w:lastRenderedPageBreak/>
        <w:t>I.</w:t>
      </w:r>
      <w:r w:rsidRPr="00A24D55">
        <w:tab/>
        <w:t>STATEMENT OF QUALIFICATIONS</w:t>
      </w:r>
      <w:bookmarkStart w:id="1" w:name="stmt"/>
      <w:bookmarkEnd w:id="0"/>
    </w:p>
    <w:bookmarkEnd w:id="1"/>
    <w:p w:rsidR="00D23415" w:rsidRPr="00D23415" w:rsidRDefault="00D23415" w:rsidP="005115ED">
      <w:pPr>
        <w:spacing w:before="120" w:after="0" w:line="480" w:lineRule="exact"/>
        <w:jc w:val="both"/>
        <w:rPr>
          <w:rFonts w:ascii="Times" w:eastAsia="Times New Roman" w:hAnsi="Times" w:cs="Times New Roman"/>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t>Please state your name and business address.</w:t>
      </w:r>
    </w:p>
    <w:p w:rsidR="00BE7F6B" w:rsidRDefault="00D23415" w:rsidP="00BE7F6B">
      <w:pPr>
        <w:spacing w:after="0" w:line="480" w:lineRule="exact"/>
        <w:ind w:left="720" w:hanging="720"/>
        <w:jc w:val="both"/>
        <w:rPr>
          <w:rFonts w:ascii="Times" w:eastAsia="Times New Roman" w:hAnsi="Times" w:cs="Times New Roman"/>
          <w:szCs w:val="20"/>
        </w:rPr>
      </w:pPr>
      <w:r w:rsidRPr="00D23415">
        <w:rPr>
          <w:rFonts w:ascii="Times" w:eastAsia="Times New Roman" w:hAnsi="Times" w:cs="Times New Roman"/>
          <w:szCs w:val="20"/>
        </w:rPr>
        <w:t>A.</w:t>
      </w:r>
      <w:r w:rsidRPr="00D23415">
        <w:rPr>
          <w:rFonts w:ascii="Times" w:eastAsia="Times New Roman" w:hAnsi="Times" w:cs="Times New Roman"/>
          <w:szCs w:val="20"/>
        </w:rPr>
        <w:tab/>
        <w:t xml:space="preserve">My name is </w:t>
      </w:r>
      <w:r w:rsidR="007E75B4">
        <w:rPr>
          <w:rFonts w:ascii="Times" w:eastAsia="Times New Roman" w:hAnsi="Times" w:cs="Times New Roman"/>
          <w:szCs w:val="20"/>
        </w:rPr>
        <w:t>Mark Filarowicz</w:t>
      </w:r>
      <w:r w:rsidRPr="00D23415">
        <w:rPr>
          <w:rFonts w:ascii="Times" w:eastAsia="Times New Roman" w:hAnsi="Times" w:cs="Times New Roman"/>
          <w:szCs w:val="20"/>
        </w:rPr>
        <w:t>.  My business address is 1701 N. Congress Avenue, Austin, Texas.</w:t>
      </w:r>
    </w:p>
    <w:p w:rsidR="00BE7F6B" w:rsidRPr="00D23415" w:rsidRDefault="00BE7F6B" w:rsidP="00BE7F6B">
      <w:pPr>
        <w:spacing w:before="120" w:after="0" w:line="480" w:lineRule="exact"/>
        <w:jc w:val="both"/>
        <w:rPr>
          <w:rFonts w:ascii="Times" w:eastAsia="Times New Roman" w:hAnsi="Times" w:cs="Times New Roman"/>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r>
      <w:r w:rsidR="00242937">
        <w:rPr>
          <w:rFonts w:ascii="Times" w:eastAsia="Times New Roman" w:hAnsi="Times" w:cs="Times New Roman"/>
          <w:b/>
          <w:szCs w:val="20"/>
        </w:rPr>
        <w:t xml:space="preserve">Who is your employer and </w:t>
      </w:r>
      <w:r w:rsidRPr="00D23415">
        <w:rPr>
          <w:rFonts w:ascii="Times" w:eastAsia="Times New Roman" w:hAnsi="Times" w:cs="Times New Roman"/>
          <w:b/>
          <w:szCs w:val="20"/>
        </w:rPr>
        <w:t xml:space="preserve">what </w:t>
      </w:r>
      <w:r w:rsidR="00242937">
        <w:rPr>
          <w:rFonts w:ascii="Times" w:eastAsia="Times New Roman" w:hAnsi="Times" w:cs="Times New Roman"/>
          <w:b/>
          <w:szCs w:val="20"/>
        </w:rPr>
        <w:t xml:space="preserve">is your </w:t>
      </w:r>
      <w:r w:rsidRPr="00D23415">
        <w:rPr>
          <w:rFonts w:ascii="Times" w:eastAsia="Times New Roman" w:hAnsi="Times" w:cs="Times New Roman"/>
          <w:b/>
          <w:szCs w:val="20"/>
        </w:rPr>
        <w:t>position?</w:t>
      </w:r>
    </w:p>
    <w:p w:rsidR="00BE7F6B" w:rsidRPr="00D23415" w:rsidRDefault="00BE7F6B" w:rsidP="00BE7F6B">
      <w:pPr>
        <w:spacing w:after="0" w:line="480" w:lineRule="exact"/>
        <w:ind w:left="720" w:hanging="720"/>
        <w:jc w:val="both"/>
        <w:rPr>
          <w:rFonts w:ascii="Times" w:eastAsia="Times New Roman" w:hAnsi="Times" w:cs="Times New Roman"/>
          <w:szCs w:val="20"/>
        </w:rPr>
      </w:pPr>
      <w:r w:rsidRPr="00D23415">
        <w:rPr>
          <w:rFonts w:ascii="Times" w:eastAsia="Times New Roman" w:hAnsi="Times" w:cs="Times New Roman"/>
          <w:szCs w:val="20"/>
        </w:rPr>
        <w:t>A.</w:t>
      </w:r>
      <w:r w:rsidRPr="00D23415">
        <w:rPr>
          <w:rFonts w:ascii="Times" w:eastAsia="Times New Roman" w:hAnsi="Times" w:cs="Times New Roman"/>
          <w:szCs w:val="20"/>
        </w:rPr>
        <w:tab/>
        <w:t>I am employed by the Public Utility Commission of Texas (</w:t>
      </w:r>
      <w:r>
        <w:rPr>
          <w:rFonts w:ascii="Times" w:eastAsia="Times New Roman" w:hAnsi="Times" w:cs="Times New Roman"/>
          <w:szCs w:val="20"/>
        </w:rPr>
        <w:t>“</w:t>
      </w:r>
      <w:r w:rsidRPr="00D23415">
        <w:rPr>
          <w:rFonts w:ascii="Times" w:eastAsia="Times New Roman" w:hAnsi="Times" w:cs="Times New Roman"/>
          <w:szCs w:val="20"/>
        </w:rPr>
        <w:t>PUCT</w:t>
      </w:r>
      <w:r>
        <w:rPr>
          <w:rFonts w:ascii="Times" w:eastAsia="Times New Roman" w:hAnsi="Times" w:cs="Times New Roman"/>
          <w:szCs w:val="20"/>
        </w:rPr>
        <w:t>” or “Commission”</w:t>
      </w:r>
      <w:r w:rsidRPr="00D23415">
        <w:rPr>
          <w:rFonts w:ascii="Times" w:eastAsia="Times New Roman" w:hAnsi="Times" w:cs="Times New Roman"/>
          <w:szCs w:val="20"/>
        </w:rPr>
        <w:t xml:space="preserve">) as a </w:t>
      </w:r>
      <w:r>
        <w:rPr>
          <w:rFonts w:ascii="Times" w:eastAsia="Times New Roman" w:hAnsi="Times" w:cs="Times New Roman"/>
          <w:szCs w:val="20"/>
        </w:rPr>
        <w:t xml:space="preserve">Senior Financial and Accounting Analyst </w:t>
      </w:r>
      <w:r w:rsidRPr="00D23415">
        <w:rPr>
          <w:rFonts w:ascii="Times" w:eastAsia="Times New Roman" w:hAnsi="Times" w:cs="Times New Roman"/>
          <w:szCs w:val="20"/>
        </w:rPr>
        <w:t>in the Rate Regulation Division.</w:t>
      </w:r>
    </w:p>
    <w:p w:rsidR="00BE7F6B" w:rsidRPr="00D23415" w:rsidRDefault="00BE7F6B" w:rsidP="00BE7F6B">
      <w:pPr>
        <w:spacing w:before="120" w:after="0" w:line="480" w:lineRule="exact"/>
        <w:ind w:left="720" w:hanging="720"/>
        <w:jc w:val="both"/>
        <w:rPr>
          <w:rFonts w:ascii="Times" w:eastAsia="Times New Roman" w:hAnsi="Times" w:cs="Times New Roman"/>
          <w:b/>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t xml:space="preserve">What are your principal responsibilities as a </w:t>
      </w:r>
      <w:r>
        <w:rPr>
          <w:rFonts w:ascii="Times" w:eastAsia="Times New Roman" w:hAnsi="Times" w:cs="Times New Roman"/>
          <w:b/>
          <w:szCs w:val="20"/>
        </w:rPr>
        <w:t xml:space="preserve">Senior Financial and Accounting Analyst for the </w:t>
      </w:r>
      <w:r w:rsidRPr="00D23415">
        <w:rPr>
          <w:rFonts w:ascii="Times" w:eastAsia="Times New Roman" w:hAnsi="Times" w:cs="Times New Roman"/>
          <w:b/>
          <w:szCs w:val="20"/>
        </w:rPr>
        <w:t>Commission?</w:t>
      </w:r>
    </w:p>
    <w:p w:rsidR="00BE7F6B" w:rsidRPr="00D23415" w:rsidRDefault="00BE7F6B" w:rsidP="00BE7F6B">
      <w:pPr>
        <w:spacing w:after="0" w:line="480" w:lineRule="exact"/>
        <w:ind w:left="720" w:hanging="720"/>
        <w:jc w:val="both"/>
        <w:rPr>
          <w:rFonts w:ascii="Times" w:eastAsia="Times New Roman" w:hAnsi="Times" w:cs="Times New Roman"/>
          <w:szCs w:val="20"/>
        </w:rPr>
      </w:pPr>
      <w:r w:rsidRPr="00D23415">
        <w:rPr>
          <w:rFonts w:ascii="Times" w:eastAsia="Times New Roman" w:hAnsi="Times" w:cs="Times New Roman"/>
          <w:szCs w:val="20"/>
        </w:rPr>
        <w:t>A.</w:t>
      </w:r>
      <w:r w:rsidRPr="00D23415">
        <w:rPr>
          <w:rFonts w:ascii="Times" w:eastAsia="Times New Roman" w:hAnsi="Times" w:cs="Times New Roman"/>
          <w:szCs w:val="20"/>
        </w:rPr>
        <w:tab/>
        <w:t xml:space="preserve">My responsibilities include testifying as an expert witness on accounting </w:t>
      </w:r>
      <w:r>
        <w:rPr>
          <w:rFonts w:ascii="Times" w:eastAsia="Times New Roman" w:hAnsi="Times" w:cs="Times New Roman"/>
          <w:szCs w:val="20"/>
        </w:rPr>
        <w:t xml:space="preserve">and financial </w:t>
      </w:r>
      <w:r w:rsidRPr="00D23415">
        <w:rPr>
          <w:rFonts w:ascii="Times" w:eastAsia="Times New Roman" w:hAnsi="Times" w:cs="Times New Roman"/>
          <w:szCs w:val="20"/>
        </w:rPr>
        <w:t>matters in rate cases and other applications filed with the Commission and participating in the overall examination, review</w:t>
      </w:r>
      <w:r>
        <w:rPr>
          <w:rFonts w:ascii="Times" w:eastAsia="Times New Roman" w:hAnsi="Times" w:cs="Times New Roman"/>
          <w:szCs w:val="20"/>
        </w:rPr>
        <w:t>,</w:t>
      </w:r>
      <w:r w:rsidRPr="00D23415">
        <w:rPr>
          <w:rFonts w:ascii="Times" w:eastAsia="Times New Roman" w:hAnsi="Times" w:cs="Times New Roman"/>
          <w:szCs w:val="20"/>
        </w:rPr>
        <w:t xml:space="preserve"> and analysis of such applications.</w:t>
      </w:r>
      <w:r>
        <w:rPr>
          <w:rFonts w:ascii="Times" w:eastAsia="Times New Roman" w:hAnsi="Times" w:cs="Times New Roman"/>
          <w:szCs w:val="20"/>
        </w:rPr>
        <w:t xml:space="preserve">  My responsibilities also include leading or participating in Commission rulemakings.</w:t>
      </w:r>
    </w:p>
    <w:p w:rsidR="00BE7F6B" w:rsidRPr="00D23415" w:rsidRDefault="00BE7F6B" w:rsidP="00BE7F6B">
      <w:pPr>
        <w:spacing w:before="120" w:after="0" w:line="480" w:lineRule="exact"/>
        <w:ind w:left="720" w:hanging="720"/>
        <w:jc w:val="both"/>
        <w:rPr>
          <w:rFonts w:ascii="Times" w:eastAsia="Times New Roman" w:hAnsi="Times" w:cs="Times New Roman"/>
          <w:b/>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t>Please describe your professional and educational background.</w:t>
      </w:r>
    </w:p>
    <w:p w:rsidR="00BE7F6B" w:rsidRDefault="00BE7F6B" w:rsidP="00BE7F6B">
      <w:pPr>
        <w:spacing w:after="0" w:line="480" w:lineRule="exact"/>
        <w:ind w:left="720" w:hanging="720"/>
        <w:jc w:val="both"/>
        <w:rPr>
          <w:rFonts w:ascii="Times" w:eastAsia="Times New Roman" w:hAnsi="Times" w:cs="Times New Roman"/>
          <w:szCs w:val="20"/>
        </w:rPr>
      </w:pPr>
      <w:r>
        <w:rPr>
          <w:rFonts w:ascii="Times" w:eastAsia="Times New Roman" w:hAnsi="Times" w:cs="Times New Roman"/>
          <w:szCs w:val="20"/>
        </w:rPr>
        <w:t>A.</w:t>
      </w:r>
      <w:r>
        <w:rPr>
          <w:rFonts w:ascii="Times" w:eastAsia="Times New Roman" w:hAnsi="Times" w:cs="Times New Roman"/>
          <w:szCs w:val="20"/>
        </w:rPr>
        <w:tab/>
        <w:t>In December 2003,</w:t>
      </w:r>
      <w:r w:rsidRPr="00D23415">
        <w:rPr>
          <w:rFonts w:ascii="Times" w:eastAsia="Times New Roman" w:hAnsi="Times" w:cs="Times New Roman"/>
          <w:szCs w:val="20"/>
        </w:rPr>
        <w:t xml:space="preserve"> I </w:t>
      </w:r>
      <w:r>
        <w:rPr>
          <w:rFonts w:ascii="Times" w:eastAsia="Times New Roman" w:hAnsi="Times" w:cs="Times New Roman"/>
          <w:szCs w:val="20"/>
        </w:rPr>
        <w:t xml:space="preserve">graduated </w:t>
      </w:r>
      <w:r>
        <w:rPr>
          <w:rFonts w:ascii="Times" w:eastAsia="Times New Roman" w:hAnsi="Times" w:cs="Times New Roman"/>
          <w:i/>
          <w:szCs w:val="20"/>
        </w:rPr>
        <w:t>summa cum laude</w:t>
      </w:r>
      <w:r>
        <w:rPr>
          <w:rFonts w:ascii="Times" w:eastAsia="Times New Roman" w:hAnsi="Times" w:cs="Times New Roman"/>
          <w:szCs w:val="20"/>
        </w:rPr>
        <w:t xml:space="preserve"> from the University of Texas at Austin with a</w:t>
      </w:r>
      <w:r w:rsidRPr="00D23415">
        <w:rPr>
          <w:rFonts w:ascii="Times" w:eastAsia="Times New Roman" w:hAnsi="Times" w:cs="Times New Roman"/>
          <w:szCs w:val="20"/>
        </w:rPr>
        <w:t xml:space="preserve"> Bachelor of </w:t>
      </w:r>
      <w:r>
        <w:rPr>
          <w:rFonts w:ascii="Times" w:eastAsia="Times New Roman" w:hAnsi="Times" w:cs="Times New Roman"/>
          <w:szCs w:val="20"/>
        </w:rPr>
        <w:t>Science</w:t>
      </w:r>
      <w:r w:rsidRPr="00D23415">
        <w:rPr>
          <w:rFonts w:ascii="Times" w:eastAsia="Times New Roman" w:hAnsi="Times" w:cs="Times New Roman"/>
          <w:szCs w:val="20"/>
        </w:rPr>
        <w:t xml:space="preserve"> degree in </w:t>
      </w:r>
      <w:r>
        <w:rPr>
          <w:rFonts w:ascii="Times" w:eastAsia="Times New Roman" w:hAnsi="Times" w:cs="Times New Roman"/>
          <w:szCs w:val="20"/>
        </w:rPr>
        <w:t>Actuarial Mathematics and a Bachelor of Arts degree in Philosophy</w:t>
      </w:r>
      <w:r w:rsidRPr="00D23415">
        <w:rPr>
          <w:rFonts w:ascii="Times" w:eastAsia="Times New Roman" w:hAnsi="Times" w:cs="Times New Roman"/>
          <w:szCs w:val="20"/>
        </w:rPr>
        <w:t>.</w:t>
      </w:r>
    </w:p>
    <w:p w:rsidR="00BE7F6B" w:rsidRDefault="00BE7F6B" w:rsidP="00BE7F6B">
      <w:pPr>
        <w:spacing w:after="0" w:line="480" w:lineRule="exact"/>
        <w:ind w:left="720" w:hanging="720"/>
        <w:jc w:val="both"/>
        <w:rPr>
          <w:rFonts w:ascii="Times" w:eastAsia="Times New Roman" w:hAnsi="Times" w:cs="Times New Roman"/>
          <w:szCs w:val="20"/>
        </w:rPr>
      </w:pPr>
      <w:r>
        <w:rPr>
          <w:rFonts w:ascii="Times" w:eastAsia="Times New Roman" w:hAnsi="Times" w:cs="Times New Roman"/>
          <w:szCs w:val="20"/>
        </w:rPr>
        <w:tab/>
      </w:r>
      <w:r>
        <w:rPr>
          <w:rFonts w:ascii="Times" w:eastAsia="Times New Roman" w:hAnsi="Times" w:cs="Times New Roman"/>
          <w:szCs w:val="20"/>
        </w:rPr>
        <w:tab/>
        <w:t>I am licensed as a Certified Public Accountant (“CPA”) in the State of Texas.</w:t>
      </w:r>
      <w:r w:rsidR="00E2415C">
        <w:rPr>
          <w:rFonts w:ascii="Times" w:eastAsia="Times New Roman" w:hAnsi="Times" w:cs="Times New Roman"/>
          <w:szCs w:val="20"/>
        </w:rPr>
        <w:t xml:space="preserve">  </w:t>
      </w:r>
    </w:p>
    <w:p w:rsidR="00706E47" w:rsidRPr="00BE7F6B" w:rsidRDefault="00BE7F6B" w:rsidP="00706E47">
      <w:pPr>
        <w:spacing w:after="0" w:line="480" w:lineRule="exact"/>
        <w:ind w:left="720" w:hanging="720"/>
        <w:jc w:val="both"/>
        <w:rPr>
          <w:rFonts w:ascii="Times" w:eastAsia="Times New Roman" w:hAnsi="Times" w:cs="Times New Roman"/>
          <w:strike/>
          <w:szCs w:val="20"/>
        </w:rPr>
      </w:pPr>
      <w:r>
        <w:rPr>
          <w:rFonts w:ascii="Times" w:eastAsia="Times New Roman" w:hAnsi="Times" w:cs="Times New Roman"/>
          <w:szCs w:val="20"/>
        </w:rPr>
        <w:tab/>
      </w:r>
      <w:r>
        <w:rPr>
          <w:rFonts w:ascii="Times" w:eastAsia="Times New Roman" w:hAnsi="Times" w:cs="Times New Roman"/>
          <w:szCs w:val="20"/>
        </w:rPr>
        <w:tab/>
        <w:t>I am a member of the CFA Institute and an exam candidate in the Chartered Financial Analyst Program</w:t>
      </w:r>
      <w:r w:rsidR="004C5CB6">
        <w:rPr>
          <w:rFonts w:ascii="Times" w:eastAsia="Times New Roman" w:hAnsi="Times" w:cs="Times New Roman"/>
          <w:szCs w:val="20"/>
        </w:rPr>
        <w:t>.</w:t>
      </w:r>
      <w:r w:rsidR="00242937">
        <w:rPr>
          <w:rFonts w:ascii="Times" w:eastAsia="Times New Roman" w:hAnsi="Times" w:cs="Times New Roman"/>
          <w:szCs w:val="20"/>
        </w:rPr>
        <w:t xml:space="preserve">  </w:t>
      </w:r>
      <w:r w:rsidR="00706E47">
        <w:rPr>
          <w:rFonts w:ascii="Times" w:eastAsia="Times New Roman" w:hAnsi="Times" w:cs="Times New Roman"/>
          <w:szCs w:val="20"/>
        </w:rPr>
        <w:t xml:space="preserve">The Chartered Financial Analyst Examination (“CFA Exam”) requires candidates to study for and take a three-part examination over a minimum three-calendar-year period.  </w:t>
      </w:r>
      <w:r w:rsidR="00706E47" w:rsidRPr="008346D0">
        <w:rPr>
          <w:rFonts w:ascii="Times" w:eastAsia="Times New Roman" w:hAnsi="Times" w:cs="Times New Roman"/>
          <w:szCs w:val="20"/>
        </w:rPr>
        <w:t xml:space="preserve">The curriculum for the CFA Exam is extensive and comprehensive; it covers a core body of knowledge fundamental to the practice of investment management and includes the subjects of finance, economics, statistics, accounting and financial reporting, equity, fixed income, alternative investments, </w:t>
      </w:r>
      <w:r w:rsidR="00706E47" w:rsidRPr="008346D0">
        <w:rPr>
          <w:rFonts w:ascii="Times" w:eastAsia="Times New Roman" w:hAnsi="Times" w:cs="Times New Roman"/>
          <w:szCs w:val="20"/>
        </w:rPr>
        <w:lastRenderedPageBreak/>
        <w:t>derivatives, and ethical and professional conduct.</w:t>
      </w:r>
      <w:r w:rsidR="00706E47">
        <w:rPr>
          <w:rFonts w:ascii="Times" w:eastAsia="Times New Roman" w:hAnsi="Times" w:cs="Times New Roman"/>
          <w:szCs w:val="20"/>
        </w:rPr>
        <w:t xml:space="preserve">  I have passed Levels I and II of the CFA Exam.</w:t>
      </w:r>
    </w:p>
    <w:p w:rsidR="00BE7F6B" w:rsidRPr="00D23415" w:rsidRDefault="00BE7F6B" w:rsidP="00BE7F6B">
      <w:pPr>
        <w:spacing w:after="0" w:line="480" w:lineRule="exact"/>
        <w:ind w:left="720" w:firstLine="720"/>
        <w:jc w:val="both"/>
        <w:rPr>
          <w:rFonts w:ascii="Times" w:eastAsia="Times New Roman" w:hAnsi="Times" w:cs="Times New Roman"/>
          <w:szCs w:val="20"/>
        </w:rPr>
      </w:pPr>
      <w:r w:rsidRPr="00D23415">
        <w:rPr>
          <w:rFonts w:ascii="Times" w:eastAsia="Times New Roman" w:hAnsi="Times" w:cs="Times New Roman"/>
          <w:szCs w:val="20"/>
        </w:rPr>
        <w:t xml:space="preserve">From </w:t>
      </w:r>
      <w:r>
        <w:rPr>
          <w:rFonts w:ascii="Times" w:eastAsia="Times New Roman" w:hAnsi="Times" w:cs="Times New Roman"/>
          <w:szCs w:val="20"/>
        </w:rPr>
        <w:t>June 2009 to June 2015</w:t>
      </w:r>
      <w:r w:rsidRPr="00D23415">
        <w:rPr>
          <w:rFonts w:ascii="Times" w:eastAsia="Times New Roman" w:hAnsi="Times" w:cs="Times New Roman"/>
          <w:szCs w:val="20"/>
        </w:rPr>
        <w:t xml:space="preserve">, I was employed by </w:t>
      </w:r>
      <w:r>
        <w:rPr>
          <w:rFonts w:ascii="Times" w:eastAsia="Times New Roman" w:hAnsi="Times" w:cs="Times New Roman"/>
          <w:szCs w:val="20"/>
        </w:rPr>
        <w:t>the Railroad Commission of Texas in varying capacities as a legal assistant and researcher, as an accountant, and as a budget analyst.  In July 2015,</w:t>
      </w:r>
      <w:r w:rsidRPr="00D23415">
        <w:rPr>
          <w:rFonts w:ascii="Times" w:eastAsia="Times New Roman" w:hAnsi="Times" w:cs="Times New Roman"/>
          <w:szCs w:val="20"/>
        </w:rPr>
        <w:t xml:space="preserve"> I began employment with the </w:t>
      </w:r>
      <w:r w:rsidR="004C5CB6">
        <w:rPr>
          <w:rFonts w:ascii="Times" w:eastAsia="Times New Roman" w:hAnsi="Times" w:cs="Times New Roman"/>
          <w:szCs w:val="20"/>
        </w:rPr>
        <w:t xml:space="preserve">PUCT </w:t>
      </w:r>
      <w:r>
        <w:rPr>
          <w:rFonts w:ascii="Times" w:eastAsia="Times New Roman" w:hAnsi="Times" w:cs="Times New Roman"/>
          <w:szCs w:val="20"/>
        </w:rPr>
        <w:t>in the Rate Regulation Division</w:t>
      </w:r>
      <w:r w:rsidRPr="00D23415">
        <w:rPr>
          <w:rFonts w:ascii="Times" w:eastAsia="Times New Roman" w:hAnsi="Times" w:cs="Times New Roman"/>
          <w:szCs w:val="20"/>
        </w:rPr>
        <w:t>.</w:t>
      </w:r>
      <w:r w:rsidR="00242937">
        <w:rPr>
          <w:rFonts w:ascii="Times" w:eastAsia="Times New Roman" w:hAnsi="Times" w:cs="Times New Roman"/>
          <w:szCs w:val="20"/>
        </w:rPr>
        <w:t xml:space="preserve">  </w:t>
      </w:r>
      <w:r w:rsidR="00706E47">
        <w:rPr>
          <w:rFonts w:ascii="Times" w:eastAsia="Times New Roman" w:hAnsi="Times" w:cs="Times New Roman"/>
          <w:szCs w:val="20"/>
        </w:rPr>
        <w:t>During my time at the PUCT, I have reviewed numerous electric utilities’ rate change applications.</w:t>
      </w:r>
    </w:p>
    <w:p w:rsidR="00BE7F6B" w:rsidRPr="00D23415" w:rsidRDefault="00BE7F6B" w:rsidP="00BE7F6B">
      <w:pPr>
        <w:spacing w:before="120" w:after="0" w:line="480" w:lineRule="exact"/>
        <w:ind w:left="720" w:hanging="720"/>
        <w:jc w:val="both"/>
        <w:rPr>
          <w:rFonts w:ascii="Times" w:eastAsia="Times New Roman" w:hAnsi="Times" w:cs="Times New Roman"/>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t>Have you previously filed testimony in re</w:t>
      </w:r>
      <w:r>
        <w:rPr>
          <w:rFonts w:ascii="Times" w:eastAsia="Times New Roman" w:hAnsi="Times" w:cs="Times New Roman"/>
          <w:b/>
          <w:szCs w:val="20"/>
        </w:rPr>
        <w:t>gulatory proceedings before the</w:t>
      </w:r>
      <w:r w:rsidRPr="00D23415">
        <w:rPr>
          <w:rFonts w:ascii="Times" w:eastAsia="Times New Roman" w:hAnsi="Times" w:cs="Times New Roman"/>
          <w:b/>
          <w:szCs w:val="20"/>
        </w:rPr>
        <w:t xml:space="preserve"> Commi</w:t>
      </w:r>
      <w:r>
        <w:rPr>
          <w:rFonts w:ascii="Times" w:eastAsia="Times New Roman" w:hAnsi="Times" w:cs="Times New Roman"/>
          <w:b/>
          <w:szCs w:val="20"/>
        </w:rPr>
        <w:t>ssion</w:t>
      </w:r>
      <w:r w:rsidRPr="00D23415">
        <w:rPr>
          <w:rFonts w:ascii="Times" w:eastAsia="Times New Roman" w:hAnsi="Times" w:cs="Times New Roman"/>
          <w:b/>
          <w:szCs w:val="20"/>
        </w:rPr>
        <w:t>?</w:t>
      </w:r>
    </w:p>
    <w:p w:rsidR="00BE7F6B" w:rsidRPr="00D23415" w:rsidRDefault="00BE7F6B" w:rsidP="00BE7F6B">
      <w:pPr>
        <w:spacing w:after="0" w:line="480" w:lineRule="exact"/>
        <w:ind w:left="720" w:hanging="720"/>
        <w:jc w:val="both"/>
        <w:rPr>
          <w:rFonts w:ascii="Times" w:eastAsia="Times New Roman" w:hAnsi="Times" w:cs="Times New Roman"/>
          <w:szCs w:val="20"/>
        </w:rPr>
      </w:pPr>
      <w:r w:rsidRPr="00D23415">
        <w:rPr>
          <w:rFonts w:ascii="Times" w:eastAsia="Times New Roman" w:hAnsi="Times" w:cs="Times New Roman"/>
          <w:szCs w:val="20"/>
        </w:rPr>
        <w:t>A.</w:t>
      </w:r>
      <w:r w:rsidRPr="00D23415">
        <w:rPr>
          <w:rFonts w:ascii="Times" w:eastAsia="Times New Roman" w:hAnsi="Times" w:cs="Times New Roman"/>
          <w:szCs w:val="20"/>
        </w:rPr>
        <w:tab/>
      </w:r>
      <w:r>
        <w:rPr>
          <w:rFonts w:ascii="Times" w:eastAsia="Times New Roman" w:hAnsi="Times" w:cs="Times New Roman"/>
          <w:szCs w:val="20"/>
        </w:rPr>
        <w:t xml:space="preserve">Yes.  Attachment </w:t>
      </w:r>
      <w:r w:rsidR="00A259E3" w:rsidRPr="000326C8">
        <w:rPr>
          <w:rFonts w:ascii="Times" w:eastAsia="Times New Roman" w:hAnsi="Times" w:cs="Times New Roman"/>
          <w:szCs w:val="20"/>
        </w:rPr>
        <w:t>MF-1</w:t>
      </w:r>
      <w:r w:rsidR="00515B8C" w:rsidRPr="000326C8">
        <w:rPr>
          <w:rFonts w:ascii="Times" w:eastAsia="Times New Roman" w:hAnsi="Times" w:cs="Times New Roman"/>
          <w:szCs w:val="20"/>
        </w:rPr>
        <w:t>0</w:t>
      </w:r>
      <w:r>
        <w:rPr>
          <w:rFonts w:ascii="Times" w:eastAsia="Times New Roman" w:hAnsi="Times" w:cs="Times New Roman"/>
          <w:szCs w:val="20"/>
        </w:rPr>
        <w:t xml:space="preserve"> details the dockets in which I have filed testimony on behalf of the public interest before the Commission.  I have also filed memoranda and otherwise participated in myriad other dockets and projects before the Commission.</w:t>
      </w:r>
    </w:p>
    <w:p w:rsidR="006D0703" w:rsidRPr="00FC43A7" w:rsidRDefault="00D23415" w:rsidP="00081F5C">
      <w:pPr>
        <w:pStyle w:val="Heading1"/>
      </w:pPr>
      <w:bookmarkStart w:id="2" w:name="_Toc11156106"/>
      <w:r w:rsidRPr="000427B3">
        <w:t>II.</w:t>
      </w:r>
      <w:r w:rsidRPr="000427B3">
        <w:tab/>
        <w:t>PURPOSE AND SCOPE OF TESTIMONY</w:t>
      </w:r>
      <w:bookmarkEnd w:id="2"/>
    </w:p>
    <w:p w:rsidR="006D0703" w:rsidRDefault="006D0703" w:rsidP="006D0703">
      <w:pPr>
        <w:tabs>
          <w:tab w:val="left" w:pos="720"/>
        </w:tabs>
        <w:spacing w:before="240" w:line="480" w:lineRule="auto"/>
        <w:ind w:left="720" w:hanging="720"/>
        <w:jc w:val="both"/>
        <w:rPr>
          <w:b/>
        </w:rPr>
      </w:pPr>
      <w:r>
        <w:rPr>
          <w:b/>
        </w:rPr>
        <w:t>Q.</w:t>
      </w:r>
      <w:r>
        <w:rPr>
          <w:b/>
        </w:rPr>
        <w:tab/>
        <w:t>What is the purpose of your testimony in this proceeding?</w:t>
      </w:r>
    </w:p>
    <w:p w:rsidR="000326C8" w:rsidRDefault="006D0703" w:rsidP="000326C8">
      <w:pPr>
        <w:pStyle w:val="Style12ptJustifiedLeft0Hanging05LinespacingD"/>
      </w:pPr>
      <w:r>
        <w:t>A.</w:t>
      </w:r>
      <w:r>
        <w:tab/>
      </w:r>
      <w:r w:rsidRPr="004F04FA">
        <w:t xml:space="preserve">The purpose of my testimony is to </w:t>
      </w:r>
      <w:r>
        <w:t xml:space="preserve">present Staff’s </w:t>
      </w:r>
      <w:r w:rsidR="007C22CB" w:rsidRPr="00515B8C">
        <w:t>recommended accounting adjustments to, and Staff’s overall</w:t>
      </w:r>
      <w:r w:rsidR="007C22CB">
        <w:t xml:space="preserve"> </w:t>
      </w:r>
      <w:r>
        <w:t>recommended revenue requirement regarding</w:t>
      </w:r>
      <w:r w:rsidR="007C22CB">
        <w:t>,</w:t>
      </w:r>
      <w:r>
        <w:t xml:space="preserve"> CenterPoint Energy Houston Electric’s (“CenterPoint” or the “Company”) request to change its rates </w:t>
      </w:r>
      <w:r w:rsidR="007C22CB" w:rsidRPr="00515B8C">
        <w:t>in this docket</w:t>
      </w:r>
      <w:r w:rsidR="007C22CB">
        <w:t xml:space="preserve"> </w:t>
      </w:r>
      <w:r>
        <w:t xml:space="preserve">based on a test year comprising the 12-month period ending December 31, 2018.  The Company’s </w:t>
      </w:r>
      <w:r w:rsidR="007C22CB">
        <w:t xml:space="preserve">most recent </w:t>
      </w:r>
      <w:r>
        <w:t xml:space="preserve">base </w:t>
      </w:r>
      <w:r w:rsidR="007C22CB">
        <w:t>rate case</w:t>
      </w:r>
      <w:r>
        <w:t xml:space="preserve"> </w:t>
      </w:r>
      <w:r w:rsidR="007C22CB">
        <w:t>was</w:t>
      </w:r>
      <w:r>
        <w:t xml:space="preserve"> Docket No. 38339</w:t>
      </w:r>
      <w:r w:rsidR="007C22CB">
        <w:t>,</w:t>
      </w:r>
      <w:r>
        <w:rPr>
          <w:rStyle w:val="FootnoteReference"/>
        </w:rPr>
        <w:footnoteReference w:id="1"/>
      </w:r>
      <w:r w:rsidR="007C22CB">
        <w:t xml:space="preserve"> based on a test year ending December 31, 2009.</w:t>
      </w:r>
      <w:r>
        <w:t xml:space="preserve">   </w:t>
      </w:r>
    </w:p>
    <w:p w:rsidR="00081F5C" w:rsidRDefault="00081F5C" w:rsidP="000326C8">
      <w:pPr>
        <w:pStyle w:val="Style12ptJustifiedLeft0Hanging05LinespacingD"/>
      </w:pPr>
    </w:p>
    <w:p w:rsidR="00081F5C" w:rsidRDefault="00081F5C" w:rsidP="000326C8">
      <w:pPr>
        <w:pStyle w:val="Style12ptJustifiedLeft0Hanging05LinespacingD"/>
      </w:pPr>
    </w:p>
    <w:p w:rsidR="00FC43A7" w:rsidRDefault="00FC43A7" w:rsidP="00FC43A7">
      <w:pPr>
        <w:pStyle w:val="Style12ptJustifiedLeft0Hanging05LinespacingD"/>
        <w:spacing w:before="240"/>
        <w:rPr>
          <w:b/>
        </w:rPr>
      </w:pPr>
      <w:r>
        <w:rPr>
          <w:b/>
        </w:rPr>
        <w:lastRenderedPageBreak/>
        <w:t>Q.</w:t>
      </w:r>
      <w:r>
        <w:rPr>
          <w:b/>
        </w:rPr>
        <w:tab/>
        <w:t>What is the scope of your review?</w:t>
      </w:r>
    </w:p>
    <w:p w:rsidR="00FC43A7" w:rsidRDefault="00FC43A7" w:rsidP="00FC43A7">
      <w:pPr>
        <w:pStyle w:val="Style12ptJustifiedLeft0Hanging05LinespacingD"/>
      </w:pPr>
      <w:r>
        <w:t>A.</w:t>
      </w:r>
      <w:r>
        <w:tab/>
        <w:t>My review encompasses analysis of the</w:t>
      </w:r>
      <w:r w:rsidR="00706E47">
        <w:t xml:space="preserve"> </w:t>
      </w:r>
      <w:r w:rsidR="00706E47">
        <w:rPr>
          <w:i/>
        </w:rPr>
        <w:t>Application of CenterPoint Energy Houston Electric, LLC for Authority to Change Rates</w:t>
      </w:r>
      <w:r>
        <w:t xml:space="preserve"> </w:t>
      </w:r>
      <w:r w:rsidR="00706E47">
        <w:t>(the “A</w:t>
      </w:r>
      <w:r>
        <w:t>pplication</w:t>
      </w:r>
      <w:r w:rsidR="00706E47">
        <w:t>”)</w:t>
      </w:r>
      <w:r>
        <w:t xml:space="preserve"> as filed on April</w:t>
      </w:r>
      <w:r w:rsidR="007E28C4">
        <w:t xml:space="preserve"> 5, 2019; the Company’s</w:t>
      </w:r>
      <w:r>
        <w:t xml:space="preserve"> required </w:t>
      </w:r>
      <w:r w:rsidR="007E28C4">
        <w:t xml:space="preserve">45-day </w:t>
      </w:r>
      <w:r>
        <w:t xml:space="preserve">update thereto filed on </w:t>
      </w:r>
      <w:r w:rsidR="007E28C4" w:rsidRPr="000326C8">
        <w:t>May 20, 2019</w:t>
      </w:r>
      <w:r w:rsidR="007E28C4">
        <w:t>; and</w:t>
      </w:r>
      <w:r>
        <w:t xml:space="preserve"> </w:t>
      </w:r>
      <w:r w:rsidR="007E28C4">
        <w:t>the Company’s</w:t>
      </w:r>
      <w:r>
        <w:t xml:space="preserve"> responses to </w:t>
      </w:r>
      <w:r w:rsidR="007E28C4">
        <w:t xml:space="preserve">parties’ </w:t>
      </w:r>
      <w:r>
        <w:t>Requests for Information (“RFIs”)</w:t>
      </w:r>
      <w:r w:rsidR="007E28C4">
        <w:t xml:space="preserve"> throughout the proceeding</w:t>
      </w:r>
      <w:r>
        <w:t xml:space="preserve">. </w:t>
      </w:r>
    </w:p>
    <w:p w:rsidR="007E28C4" w:rsidRPr="00515B8C" w:rsidRDefault="007E28C4" w:rsidP="00B80B70">
      <w:pPr>
        <w:spacing w:after="0" w:line="480" w:lineRule="auto"/>
        <w:ind w:left="720" w:hanging="720"/>
        <w:jc w:val="both"/>
        <w:rPr>
          <w:rFonts w:ascii="Times" w:eastAsia="Times New Roman" w:hAnsi="Times" w:cs="Times New Roman"/>
          <w:b/>
          <w:szCs w:val="20"/>
        </w:rPr>
      </w:pPr>
      <w:r w:rsidRPr="00515B8C">
        <w:rPr>
          <w:rFonts w:ascii="Times" w:eastAsia="Times New Roman" w:hAnsi="Times" w:cs="Times New Roman"/>
          <w:b/>
          <w:szCs w:val="20"/>
        </w:rPr>
        <w:t>Q.</w:t>
      </w:r>
      <w:r w:rsidRPr="00515B8C">
        <w:rPr>
          <w:rFonts w:ascii="Times" w:eastAsia="Times New Roman" w:hAnsi="Times" w:cs="Times New Roman"/>
          <w:b/>
          <w:szCs w:val="20"/>
        </w:rPr>
        <w:tab/>
        <w:t>What is the basis of your recommendation?</w:t>
      </w:r>
    </w:p>
    <w:p w:rsidR="007E28C4" w:rsidRPr="000326C8" w:rsidRDefault="007E28C4" w:rsidP="00B80B70">
      <w:pPr>
        <w:spacing w:after="0" w:line="480" w:lineRule="auto"/>
        <w:ind w:left="720" w:hanging="720"/>
        <w:jc w:val="both"/>
        <w:rPr>
          <w:rFonts w:eastAsia="Times New Roman" w:cs="Times New Roman"/>
          <w:szCs w:val="20"/>
        </w:rPr>
      </w:pPr>
      <w:r w:rsidRPr="00515B8C">
        <w:rPr>
          <w:rFonts w:eastAsia="Times New Roman" w:cs="Times New Roman"/>
          <w:szCs w:val="20"/>
        </w:rPr>
        <w:t>A.</w:t>
      </w:r>
      <w:r w:rsidRPr="00515B8C">
        <w:rPr>
          <w:rFonts w:eastAsia="Times New Roman" w:cs="Times New Roman"/>
          <w:szCs w:val="20"/>
        </w:rPr>
        <w:tab/>
        <w:t xml:space="preserve">The basis of my recommendation is my </w:t>
      </w:r>
      <w:r w:rsidRPr="000326C8">
        <w:rPr>
          <w:rFonts w:eastAsia="Times New Roman" w:cs="Times New Roman"/>
          <w:szCs w:val="20"/>
        </w:rPr>
        <w:t xml:space="preserve">review </w:t>
      </w:r>
      <w:r w:rsidR="00515B8C" w:rsidRPr="000326C8">
        <w:rPr>
          <w:rFonts w:eastAsia="Times New Roman" w:cs="Times New Roman"/>
          <w:szCs w:val="20"/>
        </w:rPr>
        <w:t>and evaluation</w:t>
      </w:r>
      <w:r w:rsidR="00515B8C" w:rsidRPr="00515B8C">
        <w:rPr>
          <w:rFonts w:eastAsia="Times New Roman" w:cs="Times New Roman"/>
          <w:szCs w:val="20"/>
        </w:rPr>
        <w:t xml:space="preserve"> </w:t>
      </w:r>
      <w:r w:rsidRPr="00515B8C">
        <w:rPr>
          <w:rFonts w:eastAsia="Times New Roman" w:cs="Times New Roman"/>
          <w:szCs w:val="20"/>
        </w:rPr>
        <w:t xml:space="preserve">of the Company’s testimony, </w:t>
      </w:r>
      <w:proofErr w:type="spellStart"/>
      <w:r w:rsidRPr="00515B8C">
        <w:rPr>
          <w:rFonts w:eastAsia="Times New Roman" w:cs="Times New Roman"/>
          <w:szCs w:val="20"/>
        </w:rPr>
        <w:t>workpapers</w:t>
      </w:r>
      <w:proofErr w:type="spellEnd"/>
      <w:r w:rsidRPr="00515B8C">
        <w:rPr>
          <w:rFonts w:eastAsia="Times New Roman" w:cs="Times New Roman"/>
          <w:szCs w:val="20"/>
        </w:rPr>
        <w:t>, supporting document</w:t>
      </w:r>
      <w:r w:rsidR="00515B8C" w:rsidRPr="00515B8C">
        <w:rPr>
          <w:rFonts w:eastAsia="Times New Roman" w:cs="Times New Roman"/>
          <w:szCs w:val="20"/>
        </w:rPr>
        <w:t>ation, and responses to RFIs.</w:t>
      </w:r>
      <w:r w:rsidR="00515B8C">
        <w:rPr>
          <w:rFonts w:eastAsia="Times New Roman" w:cs="Times New Roman"/>
          <w:szCs w:val="20"/>
          <w:highlight w:val="yellow"/>
        </w:rPr>
        <w:t xml:space="preserve">  </w:t>
      </w:r>
    </w:p>
    <w:p w:rsidR="007E28C4" w:rsidRDefault="007E28C4" w:rsidP="00B80B70">
      <w:pPr>
        <w:pStyle w:val="Style12ptJustifiedLeft0Hanging05LinespacingD"/>
        <w:rPr>
          <w:b/>
        </w:rPr>
      </w:pPr>
      <w:r>
        <w:rPr>
          <w:b/>
        </w:rPr>
        <w:t>Q.</w:t>
      </w:r>
      <w:r>
        <w:rPr>
          <w:b/>
        </w:rPr>
        <w:tab/>
        <w:t xml:space="preserve">What standards are you applying in the determination of the reasonableness of CenterPoint’s </w:t>
      </w:r>
      <w:r w:rsidRPr="00515B8C">
        <w:rPr>
          <w:b/>
        </w:rPr>
        <w:t>accounting requests and</w:t>
      </w:r>
      <w:r>
        <w:rPr>
          <w:b/>
        </w:rPr>
        <w:t xml:space="preserve"> overall requested revenue requirement?</w:t>
      </w:r>
    </w:p>
    <w:p w:rsidR="007E28C4" w:rsidRDefault="007E28C4" w:rsidP="007E28C4">
      <w:pPr>
        <w:pStyle w:val="Style12ptJustifiedLeft0Hanging05LinespacingD"/>
      </w:pPr>
      <w:r>
        <w:t>A.</w:t>
      </w:r>
      <w:r>
        <w:tab/>
        <w:t>I am applying standards set forth in the Public Utility Regulatory Act, Tex. Util. Code Ann. § 36.051 (</w:t>
      </w:r>
      <w:r w:rsidR="00515B8C">
        <w:t>“</w:t>
      </w:r>
      <w:r>
        <w:t>PURA</w:t>
      </w:r>
      <w:r w:rsidR="00515B8C">
        <w:t>”</w:t>
      </w:r>
      <w:r>
        <w:t>), which states :</w:t>
      </w:r>
    </w:p>
    <w:p w:rsidR="007E28C4" w:rsidRDefault="007E28C4" w:rsidP="00D47F6F">
      <w:pPr>
        <w:pStyle w:val="Style12ptJustifiedLeft0Hanging05LinespacingD"/>
        <w:spacing w:after="120" w:line="240" w:lineRule="auto"/>
        <w:ind w:left="1440" w:right="1440" w:firstLine="0"/>
      </w:pPr>
      <w:r>
        <w:t>In establishing an electric utility’s rates, the regulatory authority shall establish the utility’s overall revenues at an amount that will permit the utility a reasonable opportunity to earn a reasonable return on the utility’s invested capital used and useful in providing service to the public in excess of the utility’s reasonable and necessary operating expenses.</w:t>
      </w:r>
    </w:p>
    <w:p w:rsidR="007E28C4" w:rsidRDefault="007E28C4" w:rsidP="007E28C4">
      <w:pPr>
        <w:pStyle w:val="Style12ptJustifiedLeft0Hanging05LinespacingD"/>
      </w:pPr>
      <w:r>
        <w:t xml:space="preserve"> </w:t>
      </w:r>
      <w:r>
        <w:tab/>
        <w:t>I am also applying 16 Tex. Admin. Code (“TAC”) § 25.231, otherwise known as the Commission’s Cost of Service rule, which states in part:</w:t>
      </w:r>
    </w:p>
    <w:p w:rsidR="007E28C4" w:rsidRDefault="007E28C4" w:rsidP="007E28C4">
      <w:pPr>
        <w:pStyle w:val="Style12ptJustifiedLeft0Hanging05LinespacingD"/>
        <w:numPr>
          <w:ilvl w:val="0"/>
          <w:numId w:val="16"/>
        </w:numPr>
        <w:spacing w:line="240" w:lineRule="auto"/>
        <w:ind w:right="1440"/>
      </w:pPr>
      <w:r w:rsidRPr="004F221C">
        <w:rPr>
          <w:b/>
        </w:rPr>
        <w:t>Components of cost of service</w:t>
      </w:r>
      <w:r>
        <w:t>.  Except as provided in subsection (c)(2) of this section, relating to invested capital; rate base, and §23.23(b) of this title (relating to Rate Design), rates are to be based upon an electric utility’s cost of rendering service to the public during a historical test year, adjusted for known and measurable changes.  The two components of cost of service are allowable expenses and return on invested capital.</w:t>
      </w:r>
    </w:p>
    <w:p w:rsidR="007E28C4" w:rsidRDefault="007E28C4" w:rsidP="007E28C4">
      <w:pPr>
        <w:pStyle w:val="Style12ptJustifiedLeft0Hanging05LinespacingD"/>
        <w:numPr>
          <w:ilvl w:val="0"/>
          <w:numId w:val="16"/>
        </w:numPr>
        <w:spacing w:line="240" w:lineRule="auto"/>
        <w:ind w:right="1440"/>
      </w:pPr>
      <w:r w:rsidRPr="004F221C">
        <w:rPr>
          <w:b/>
        </w:rPr>
        <w:t>Allowable expenses</w:t>
      </w:r>
      <w:r>
        <w:t>.  Only those expenses which are reasonable and necessary to provide service to the public shall be included in allowable expenses.  In computing an electric utility’s allowable expenses, only the electric utility’s historical test year expenses as adjusted for known and measurable changes will be considered, except as provided for in any section of these rules dealing with fuel expenses.</w:t>
      </w:r>
    </w:p>
    <w:p w:rsidR="007E28C4" w:rsidRDefault="007E28C4" w:rsidP="007E28C4">
      <w:pPr>
        <w:pStyle w:val="Style12ptJustifiedLeft0Hanging05LinespacingD"/>
        <w:numPr>
          <w:ilvl w:val="0"/>
          <w:numId w:val="16"/>
        </w:numPr>
        <w:spacing w:line="240" w:lineRule="auto"/>
        <w:ind w:right="1440"/>
      </w:pPr>
      <w:r w:rsidRPr="004F221C">
        <w:rPr>
          <w:b/>
        </w:rPr>
        <w:t>Return on invested capital</w:t>
      </w:r>
      <w:r>
        <w:t>.  The return on invested capital is the rate of return times invested capital.</w:t>
      </w:r>
    </w:p>
    <w:p w:rsidR="007E28C4" w:rsidRPr="00BA0457" w:rsidRDefault="007E28C4" w:rsidP="00D47F6F">
      <w:pPr>
        <w:pStyle w:val="Style12ptJustifiedLeft0Hanging05LinespacingD"/>
        <w:spacing w:after="120" w:line="240" w:lineRule="auto"/>
        <w:ind w:left="2880" w:right="1440"/>
      </w:pPr>
      <w:r>
        <w:t>(2)</w:t>
      </w:r>
      <w:r>
        <w:tab/>
      </w:r>
      <w:r w:rsidRPr="004F221C">
        <w:rPr>
          <w:b/>
        </w:rPr>
        <w:t>Invested capital; rate base</w:t>
      </w:r>
      <w:r>
        <w:t>.  The rate of return is applied to the rate base.  The rate base, sometimes referred to as invested capital, includes as a major component the original cost of plant, property, and equipment, less accumulated depreciation, used and useful in rendering service to the public.</w:t>
      </w:r>
    </w:p>
    <w:p w:rsidR="007E28C4" w:rsidRDefault="007E28C4" w:rsidP="007E28C4">
      <w:pPr>
        <w:tabs>
          <w:tab w:val="left" w:pos="720"/>
        </w:tabs>
        <w:spacing w:before="240" w:line="480" w:lineRule="auto"/>
        <w:ind w:left="720" w:hanging="720"/>
        <w:jc w:val="both"/>
        <w:rPr>
          <w:b/>
        </w:rPr>
      </w:pPr>
      <w:r>
        <w:rPr>
          <w:b/>
        </w:rPr>
        <w:t>Q.</w:t>
      </w:r>
      <w:r>
        <w:rPr>
          <w:b/>
        </w:rPr>
        <w:tab/>
        <w:t>On whose behalf are you testifying in this proceeding?</w:t>
      </w:r>
    </w:p>
    <w:p w:rsidR="009577E1" w:rsidRPr="00515B8C" w:rsidRDefault="007E28C4" w:rsidP="00515B8C">
      <w:pPr>
        <w:pStyle w:val="Style12ptJustifiedLeft0Hanging05LinespacingD"/>
      </w:pPr>
      <w:r w:rsidRPr="00415D3B">
        <w:t>A.</w:t>
      </w:r>
      <w:r w:rsidRPr="00415D3B">
        <w:tab/>
        <w:t>I am testifying on</w:t>
      </w:r>
      <w:r>
        <w:t xml:space="preserve"> behalf of the Commission Staff</w:t>
      </w:r>
      <w:r w:rsidRPr="00515B8C">
        <w:t xml:space="preserve">, whose duty it is to </w:t>
      </w:r>
      <w:r w:rsidR="001C4AA0" w:rsidRPr="00515B8C">
        <w:t>represent</w:t>
      </w:r>
      <w:r w:rsidRPr="00515B8C">
        <w:t xml:space="preserve"> the public interest in such proceedings</w:t>
      </w:r>
      <w:r w:rsidR="00D718FA" w:rsidRPr="00515B8C">
        <w:t>.</w:t>
      </w:r>
      <w:r w:rsidR="000C7EF5">
        <w:t xml:space="preserve">  </w:t>
      </w:r>
      <w:r w:rsidR="000C7EF5" w:rsidRPr="00B80B70">
        <w:t>PURA § 11.002(a) provides, “This title is enacted to protect the public interest inherent in the rates and services of public utilities.”</w:t>
      </w:r>
    </w:p>
    <w:p w:rsidR="009577E1" w:rsidRPr="00E31A43" w:rsidRDefault="009577E1" w:rsidP="00515B8C">
      <w:pPr>
        <w:pStyle w:val="Heading1"/>
        <w:ind w:left="1440" w:hanging="1440"/>
      </w:pPr>
      <w:bookmarkStart w:id="3" w:name="_Toc11156107"/>
      <w:r>
        <w:t>III.</w:t>
      </w:r>
      <w:r>
        <w:tab/>
        <w:t xml:space="preserve">SUMMARY OF </w:t>
      </w:r>
      <w:r w:rsidR="0072222B">
        <w:t>CENTERPOINT</w:t>
      </w:r>
      <w:r>
        <w:t>’S REQUEST</w:t>
      </w:r>
      <w:bookmarkEnd w:id="3"/>
      <w:r>
        <w:t xml:space="preserve"> </w:t>
      </w:r>
    </w:p>
    <w:p w:rsidR="009577E1" w:rsidRDefault="009577E1" w:rsidP="00B75FAD">
      <w:pPr>
        <w:tabs>
          <w:tab w:val="left" w:pos="720"/>
        </w:tabs>
        <w:spacing w:before="240" w:line="480" w:lineRule="auto"/>
        <w:ind w:left="720" w:hanging="720"/>
        <w:jc w:val="both"/>
      </w:pPr>
      <w:r>
        <w:rPr>
          <w:b/>
        </w:rPr>
        <w:t>Q.</w:t>
      </w:r>
      <w:r>
        <w:rPr>
          <w:b/>
        </w:rPr>
        <w:tab/>
        <w:t xml:space="preserve">Please summarize </w:t>
      </w:r>
      <w:r w:rsidR="0072222B">
        <w:rPr>
          <w:b/>
        </w:rPr>
        <w:t>CenterPoint</w:t>
      </w:r>
      <w:r>
        <w:rPr>
          <w:b/>
        </w:rPr>
        <w:t>’s request.</w:t>
      </w:r>
    </w:p>
    <w:p w:rsidR="009577E1" w:rsidRDefault="009577E1" w:rsidP="009577E1">
      <w:pPr>
        <w:pStyle w:val="Style12ptJustifiedLeft0Hanging05LinespacingD"/>
      </w:pPr>
      <w:r>
        <w:t>A.</w:t>
      </w:r>
      <w:r>
        <w:tab/>
      </w:r>
      <w:r w:rsidR="0072222B">
        <w:t>CenterPoint</w:t>
      </w:r>
      <w:r>
        <w:t xml:space="preserve"> requests </w:t>
      </w:r>
      <w:r w:rsidR="00515B8C">
        <w:t xml:space="preserve">a total revenue requirement </w:t>
      </w:r>
      <w:r w:rsidR="0072222B">
        <w:t>of $2,2</w:t>
      </w:r>
      <w:r>
        <w:t>8</w:t>
      </w:r>
      <w:r w:rsidR="00BC3C10">
        <w:t>2,204</w:t>
      </w:r>
      <w:r>
        <w:t>,</w:t>
      </w:r>
      <w:r w:rsidR="0072222B">
        <w:t>000</w:t>
      </w:r>
      <w:r w:rsidR="00EC09A9">
        <w:t xml:space="preserve"> (rounded)</w:t>
      </w:r>
      <w:r w:rsidR="00515B8C">
        <w:t xml:space="preserve">, as presented on Schedule </w:t>
      </w:r>
      <w:r w:rsidR="00515B8C" w:rsidRPr="000326C8">
        <w:t>I-A-1</w:t>
      </w:r>
      <w:r>
        <w:t>.</w:t>
      </w:r>
      <w:r>
        <w:rPr>
          <w:rStyle w:val="FootnoteReference"/>
        </w:rPr>
        <w:footnoteReference w:id="2"/>
      </w:r>
      <w:r>
        <w:t xml:space="preserve">  My testimony addresses th</w:t>
      </w:r>
      <w:r w:rsidR="00515B8C">
        <w:t>is</w:t>
      </w:r>
      <w:r>
        <w:t xml:space="preserve"> revenue requirement.  Staff witness </w:t>
      </w:r>
      <w:r w:rsidR="003B7944">
        <w:t>Brian Murphy</w:t>
      </w:r>
      <w:r w:rsidR="00515B8C">
        <w:t xml:space="preserve"> use</w:t>
      </w:r>
      <w:r w:rsidR="000326C8">
        <w:t>s</w:t>
      </w:r>
      <w:r w:rsidR="00515B8C">
        <w:t xml:space="preserve"> Staff</w:t>
      </w:r>
      <w:r w:rsidR="000326C8">
        <w:t>’s</w:t>
      </w:r>
      <w:r w:rsidR="00515B8C">
        <w:t xml:space="preserve"> recommended </w:t>
      </w:r>
      <w:r>
        <w:t xml:space="preserve">revenue requirement to development Staff’s recommended </w:t>
      </w:r>
      <w:r w:rsidR="003B7944" w:rsidRPr="000326C8">
        <w:t>wholesale transmission and retail delivery</w:t>
      </w:r>
      <w:r>
        <w:t xml:space="preserve"> cost of service.  The Company’s requested revenue requirement as well as Staff’s adjustments thereto are presented in the series of sch</w:t>
      </w:r>
      <w:r w:rsidR="0072222B">
        <w:t>edules included as Attachment MF</w:t>
      </w:r>
      <w:r>
        <w:t>-1 to this testimony.  The first column of each</w:t>
      </w:r>
      <w:r w:rsidR="00515B8C">
        <w:t xml:space="preserve"> schedule presents the </w:t>
      </w:r>
      <w:r w:rsidR="001835CF">
        <w:t>test-</w:t>
      </w:r>
      <w:r>
        <w:t xml:space="preserve">year book balances.  The second column reflects the adjustments proposed by </w:t>
      </w:r>
      <w:r w:rsidR="0072222B">
        <w:t>CenterPoint</w:t>
      </w:r>
      <w:r w:rsidR="00460329">
        <w:t xml:space="preserve"> that</w:t>
      </w:r>
      <w:r w:rsidR="0072222B">
        <w:t xml:space="preserve">, </w:t>
      </w:r>
      <w:r w:rsidR="00BC3C10">
        <w:t>when added to the test-</w:t>
      </w:r>
      <w:r w:rsidR="0072222B" w:rsidRPr="00515B8C">
        <w:t>year amounts</w:t>
      </w:r>
      <w:r w:rsidR="0072222B">
        <w:t>,</w:t>
      </w:r>
      <w:r>
        <w:t xml:space="preserve"> result in the </w:t>
      </w:r>
      <w:r w:rsidR="0072222B" w:rsidRPr="00515B8C">
        <w:t>Company’s</w:t>
      </w:r>
      <w:r w:rsidR="0072222B">
        <w:t xml:space="preserve"> December 31, 2018</w:t>
      </w:r>
      <w:r>
        <w:t xml:space="preserve"> adjusted total request that is presented in the third column of each schedule.  Staff’s adjustments to </w:t>
      </w:r>
      <w:r w:rsidR="0072222B">
        <w:t>CenterPoint</w:t>
      </w:r>
      <w:r>
        <w:t>’s request are reflected in the fourth column</w:t>
      </w:r>
      <w:r w:rsidR="0072222B">
        <w:t>,</w:t>
      </w:r>
      <w:r>
        <w:t xml:space="preserve"> and Staff’s recommended revenue requirement </w:t>
      </w:r>
      <w:r w:rsidR="0072222B">
        <w:t>appears</w:t>
      </w:r>
      <w:r>
        <w:t xml:space="preserve"> in the last column of each schedule.</w:t>
      </w:r>
    </w:p>
    <w:p w:rsidR="009577E1" w:rsidRDefault="009577E1" w:rsidP="009577E1">
      <w:pPr>
        <w:pStyle w:val="Style12ptJustifiedLeft0Hanging05LinespacingD"/>
        <w:rPr>
          <w:b/>
        </w:rPr>
      </w:pPr>
      <w:r>
        <w:rPr>
          <w:b/>
        </w:rPr>
        <w:t>Q.</w:t>
      </w:r>
      <w:r>
        <w:rPr>
          <w:b/>
        </w:rPr>
        <w:tab/>
        <w:t xml:space="preserve">Are all of the costs that are included in the Company’s requested revenue requirement directly incurred by </w:t>
      </w:r>
      <w:r w:rsidR="0072222B">
        <w:rPr>
          <w:b/>
        </w:rPr>
        <w:t>CenterPoint</w:t>
      </w:r>
      <w:r>
        <w:rPr>
          <w:b/>
        </w:rPr>
        <w:t>?</w:t>
      </w:r>
    </w:p>
    <w:p w:rsidR="00DE0E7A" w:rsidRPr="00CA5930" w:rsidRDefault="009577E1" w:rsidP="00CA5930">
      <w:pPr>
        <w:pStyle w:val="Style12ptJustifiedLeft0Hanging05LinespacingD"/>
      </w:pPr>
      <w:r>
        <w:t>A.</w:t>
      </w:r>
      <w:r>
        <w:tab/>
        <w:t xml:space="preserve">No.  While </w:t>
      </w:r>
      <w:r w:rsidR="0072222B" w:rsidRPr="005827AB">
        <w:t>many</w:t>
      </w:r>
      <w:r>
        <w:t xml:space="preserve"> costs were directly incurred by </w:t>
      </w:r>
      <w:r w:rsidR="0072222B">
        <w:t>CenterPoint</w:t>
      </w:r>
      <w:r>
        <w:t xml:space="preserve">, </w:t>
      </w:r>
      <w:r w:rsidR="005827AB">
        <w:t xml:space="preserve">many </w:t>
      </w:r>
      <w:r>
        <w:t>other costs were incurred b</w:t>
      </w:r>
      <w:r w:rsidR="0072222B">
        <w:t>y its affiliated service companies</w:t>
      </w:r>
      <w:r w:rsidR="00D718FA">
        <w:t>.</w:t>
      </w:r>
      <w:r>
        <w:t xml:space="preserve"> </w:t>
      </w:r>
    </w:p>
    <w:p w:rsidR="00030144" w:rsidRDefault="00030144" w:rsidP="00030144">
      <w:pPr>
        <w:pStyle w:val="Style12ptJustifiedLeft0Hanging05LinespacingD"/>
        <w:rPr>
          <w:b/>
        </w:rPr>
      </w:pPr>
      <w:r>
        <w:rPr>
          <w:b/>
        </w:rPr>
        <w:t>Q.</w:t>
      </w:r>
      <w:r>
        <w:rPr>
          <w:b/>
        </w:rPr>
        <w:tab/>
        <w:t>Did CenterPoint file errata to its Application?</w:t>
      </w:r>
    </w:p>
    <w:p w:rsidR="00710013" w:rsidRDefault="00030144" w:rsidP="00030144">
      <w:pPr>
        <w:pStyle w:val="Style12ptJustifiedLeft0Hanging05LinespacingD"/>
        <w:rPr>
          <w:rFonts w:ascii="Times" w:hAnsi="Times"/>
          <w:b/>
        </w:rPr>
      </w:pPr>
      <w:r>
        <w:t>A.</w:t>
      </w:r>
      <w:r>
        <w:tab/>
        <w:t>Yes.  On May 20, 2019, CenterPoint filed errata that included various adjustments to its Application.</w:t>
      </w:r>
      <w:r w:rsidR="000326C8">
        <w:rPr>
          <w:rStyle w:val="FootnoteReference"/>
        </w:rPr>
        <w:footnoteReference w:id="3"/>
      </w:r>
    </w:p>
    <w:p w:rsidR="00030144" w:rsidRDefault="00030144" w:rsidP="00030144">
      <w:pPr>
        <w:pStyle w:val="Style12ptJustifiedLeft0Hanging05LinespacingD"/>
        <w:rPr>
          <w:b/>
        </w:rPr>
      </w:pPr>
      <w:r>
        <w:rPr>
          <w:b/>
        </w:rPr>
        <w:t>Q.</w:t>
      </w:r>
      <w:r>
        <w:rPr>
          <w:b/>
        </w:rPr>
        <w:tab/>
        <w:t>Did CenterPoint file corrected schedules with its errata to its Application?</w:t>
      </w:r>
    </w:p>
    <w:p w:rsidR="00C77085" w:rsidRDefault="00030144" w:rsidP="00C77085">
      <w:pPr>
        <w:pStyle w:val="Style12ptJustifiedLeft0Hanging05LinespacingD"/>
      </w:pPr>
      <w:r>
        <w:t>A.</w:t>
      </w:r>
      <w:r>
        <w:tab/>
        <w:t>No.</w:t>
      </w:r>
      <w:r w:rsidR="00BC3C10">
        <w:t xml:space="preserve">  CenterPoint represented in the</w:t>
      </w:r>
      <w:r>
        <w:t xml:space="preserve"> filing of its errata that it will present corrected schedules when it files its rebuttal testimony in this docket. </w:t>
      </w:r>
      <w:r w:rsidR="00C77085">
        <w:t>Specifically, CenterPoint asserts:</w:t>
      </w:r>
    </w:p>
    <w:p w:rsidR="00030144" w:rsidRDefault="00C77085" w:rsidP="00C77085">
      <w:pPr>
        <w:pStyle w:val="Style12ptJustifiedLeft0Hanging05LinespacingD"/>
        <w:spacing w:line="240" w:lineRule="auto"/>
        <w:ind w:left="1440" w:right="1440" w:firstLine="0"/>
      </w:pPr>
      <w:r>
        <w:t xml:space="preserve">Since the filing of CenterPoint Energy Houston Electric, LCC’s (“CenterPoint Houston”) Application for Authority to Change Rates, CenterPoint Houston has identified certain corrections to its Rate Filing Package (“RFP”) Schedules and </w:t>
      </w:r>
      <w:proofErr w:type="spellStart"/>
      <w:r>
        <w:t>Workpapers</w:t>
      </w:r>
      <w:proofErr w:type="spellEnd"/>
      <w:r>
        <w:t xml:space="preserve">.  CenterPoint Houston anticipates filing updated RFP Schedules and </w:t>
      </w:r>
      <w:proofErr w:type="spellStart"/>
      <w:r>
        <w:t>Workpapers</w:t>
      </w:r>
      <w:proofErr w:type="spellEnd"/>
      <w:r>
        <w:t xml:space="preserve"> including these corrections with its rebuttal testimony.</w:t>
      </w:r>
      <w:r>
        <w:rPr>
          <w:rStyle w:val="FootnoteReference"/>
        </w:rPr>
        <w:footnoteReference w:id="4"/>
      </w:r>
    </w:p>
    <w:p w:rsidR="00EF4FE8" w:rsidRDefault="00EF4FE8" w:rsidP="005827AB">
      <w:pPr>
        <w:spacing w:before="120" w:after="0" w:line="480" w:lineRule="exact"/>
        <w:ind w:left="720"/>
        <w:jc w:val="both"/>
      </w:pPr>
      <w:r w:rsidRPr="000326C8">
        <w:t>CenterPoint filed, via cover letter dated June 3, 2019, changes to direct testimonies relating to its adjustments contained in its errata; this filing did not include updated revenue requirement schedules to reflect CenterPoint’s amended request based on its errata.</w:t>
      </w:r>
      <w:r w:rsidRPr="000326C8">
        <w:rPr>
          <w:rStyle w:val="FootnoteReference"/>
        </w:rPr>
        <w:footnoteReference w:id="5"/>
      </w:r>
    </w:p>
    <w:p w:rsidR="00CA5930" w:rsidRPr="005827AB" w:rsidRDefault="00030144" w:rsidP="00EF4FE8">
      <w:pPr>
        <w:spacing w:before="120" w:after="0" w:line="480" w:lineRule="exact"/>
        <w:ind w:left="720" w:firstLine="720"/>
        <w:jc w:val="both"/>
        <w:rPr>
          <w:rFonts w:ascii="Times" w:eastAsia="Times New Roman" w:hAnsi="Times" w:cs="Times New Roman"/>
          <w:b/>
          <w:szCs w:val="20"/>
        </w:rPr>
      </w:pPr>
      <w:r>
        <w:t>Because</w:t>
      </w:r>
      <w:r w:rsidR="00522A2F">
        <w:t>, as of the date of this testimony,</w:t>
      </w:r>
      <w:r>
        <w:t xml:space="preserve"> CenterPoint </w:t>
      </w:r>
      <w:r w:rsidR="00522A2F">
        <w:t xml:space="preserve">has </w:t>
      </w:r>
      <w:r>
        <w:t xml:space="preserve">failed to </w:t>
      </w:r>
      <w:r w:rsidR="00522A2F">
        <w:t>file</w:t>
      </w:r>
      <w:r w:rsidR="00D718FA">
        <w:t xml:space="preserve"> </w:t>
      </w:r>
      <w:r>
        <w:t>update</w:t>
      </w:r>
      <w:r w:rsidR="00D718FA">
        <w:t xml:space="preserve">d </w:t>
      </w:r>
      <w:r>
        <w:t xml:space="preserve">schedules that make up its </w:t>
      </w:r>
      <w:r w:rsidR="000326C8">
        <w:t xml:space="preserve">requested </w:t>
      </w:r>
      <w:r>
        <w:t xml:space="preserve">revenue requirement, Staff’s model starts with CenterPoint’s schedules from its </w:t>
      </w:r>
      <w:r w:rsidR="00D718FA">
        <w:t xml:space="preserve">April 5, 2019 </w:t>
      </w:r>
      <w:r>
        <w:t>Application.</w:t>
      </w:r>
    </w:p>
    <w:p w:rsidR="00CA5930" w:rsidRDefault="00CA5930" w:rsidP="00CA5930">
      <w:pPr>
        <w:pStyle w:val="Heading1"/>
        <w:ind w:left="1440" w:hanging="1440"/>
      </w:pPr>
      <w:bookmarkStart w:id="4" w:name="_Toc11156108"/>
      <w:r>
        <w:t>IV.</w:t>
      </w:r>
      <w:r>
        <w:tab/>
        <w:t>SUMMARY OF STAFF’S RECOMMENDATION</w:t>
      </w:r>
      <w:bookmarkEnd w:id="4"/>
      <w:r>
        <w:t xml:space="preserve"> </w:t>
      </w:r>
    </w:p>
    <w:p w:rsidR="00CA5930" w:rsidRDefault="00CA5930" w:rsidP="00CA5930">
      <w:pPr>
        <w:pStyle w:val="Style12ptJustifiedLeft0Hanging05LinespacingD"/>
        <w:spacing w:before="240"/>
        <w:rPr>
          <w:b/>
        </w:rPr>
      </w:pPr>
      <w:r>
        <w:rPr>
          <w:b/>
        </w:rPr>
        <w:t>Q.</w:t>
      </w:r>
      <w:r>
        <w:rPr>
          <w:b/>
        </w:rPr>
        <w:tab/>
        <w:t>Please summarize Staff’s recommendation.</w:t>
      </w:r>
    </w:p>
    <w:p w:rsidR="00CA5930" w:rsidRPr="00B53319" w:rsidRDefault="00CA5930" w:rsidP="00CA5930">
      <w:pPr>
        <w:pStyle w:val="Style12ptJustifiedLeft0Hanging05LinespacingD"/>
        <w:rPr>
          <w:color w:val="FF0000"/>
        </w:rPr>
      </w:pPr>
      <w:r>
        <w:t>A.</w:t>
      </w:r>
      <w:r>
        <w:tab/>
        <w:t xml:space="preserve">As shown on Schedule I of Attachment MF-1, Staff recommends a </w:t>
      </w:r>
      <w:r w:rsidR="00D718FA">
        <w:t>revenue requirement</w:t>
      </w:r>
      <w:r>
        <w:t xml:space="preserve"> of $</w:t>
      </w:r>
      <w:r w:rsidR="000A2C79" w:rsidRPr="00DB0729">
        <w:t>2</w:t>
      </w:r>
      <w:r w:rsidRPr="00DB0729">
        <w:t>,</w:t>
      </w:r>
      <w:r w:rsidR="000A2C79" w:rsidRPr="00DB0729">
        <w:t>126</w:t>
      </w:r>
      <w:r w:rsidRPr="00DB0729">
        <w:t>,</w:t>
      </w:r>
      <w:r w:rsidR="000A2C79" w:rsidRPr="00DB0729">
        <w:t>238,0</w:t>
      </w:r>
      <w:r w:rsidR="00D718FA" w:rsidRPr="00DB0729">
        <w:t>0</w:t>
      </w:r>
      <w:r w:rsidR="000A2C79" w:rsidRPr="00DB0729">
        <w:t>0</w:t>
      </w:r>
      <w:r>
        <w:t xml:space="preserve"> </w:t>
      </w:r>
      <w:r w:rsidR="00D718FA">
        <w:t xml:space="preserve">(rounded) </w:t>
      </w:r>
      <w:r>
        <w:t xml:space="preserve">which is </w:t>
      </w:r>
      <w:r w:rsidRPr="00DB0729">
        <w:t>an adjustment</w:t>
      </w:r>
      <w:r>
        <w:t xml:space="preserve"> of </w:t>
      </w:r>
      <w:r w:rsidRPr="00DB0729">
        <w:t>($</w:t>
      </w:r>
      <w:r w:rsidR="000A2C79" w:rsidRPr="00DB0729">
        <w:t>155,967</w:t>
      </w:r>
      <w:r w:rsidRPr="00DB0729">
        <w:t>,</w:t>
      </w:r>
      <w:r w:rsidR="000A2C79" w:rsidRPr="00DB0729">
        <w:t>000</w:t>
      </w:r>
      <w:r w:rsidRPr="00DB0729">
        <w:t>)</w:t>
      </w:r>
      <w:r>
        <w:t xml:space="preserve"> </w:t>
      </w:r>
      <w:r w:rsidR="00D718FA">
        <w:t xml:space="preserve">(rounded) </w:t>
      </w:r>
      <w:r>
        <w:t>to the Company’s request.  As noted above,</w:t>
      </w:r>
      <w:r w:rsidR="00EC09A9">
        <w:t xml:space="preserve"> this is an adjustment to CenterPoint’s initial request in its Application and is not an adjustment to its errata.</w:t>
      </w:r>
      <w:r>
        <w:t xml:space="preserve"> </w:t>
      </w:r>
      <w:r w:rsidR="00EC09A9">
        <w:t xml:space="preserve"> </w:t>
      </w:r>
      <w:r>
        <w:t xml:space="preserve">Staff witness Murphy </w:t>
      </w:r>
      <w:r w:rsidR="00D718FA" w:rsidRPr="005827AB">
        <w:t>uses</w:t>
      </w:r>
      <w:r>
        <w:t xml:space="preserve"> this revenue requirement to develop Staff’s </w:t>
      </w:r>
      <w:r w:rsidR="00DB0729">
        <w:t xml:space="preserve">recommended </w:t>
      </w:r>
      <w:r w:rsidRPr="00DB0729">
        <w:t xml:space="preserve">wholesale transmission and retail </w:t>
      </w:r>
      <w:r w:rsidR="00D57865">
        <w:t>delivery cost of service</w:t>
      </w:r>
      <w:r>
        <w:t xml:space="preserve"> and recommended rates.  </w:t>
      </w:r>
    </w:p>
    <w:p w:rsidR="00CA5930" w:rsidRDefault="00CA5930" w:rsidP="00CA5930">
      <w:pPr>
        <w:pStyle w:val="Style12ptJustifiedLeft0Hanging05LinespacingD"/>
        <w:spacing w:before="240"/>
        <w:rPr>
          <w:b/>
        </w:rPr>
      </w:pPr>
      <w:r>
        <w:rPr>
          <w:b/>
        </w:rPr>
        <w:t>Q.</w:t>
      </w:r>
      <w:r>
        <w:rPr>
          <w:b/>
        </w:rPr>
        <w:tab/>
        <w:t>Are you sponsoring any of the adjustments to the Company’s requested revenue requirement?</w:t>
      </w:r>
    </w:p>
    <w:p w:rsidR="00A6292C" w:rsidRPr="00D24071" w:rsidRDefault="00CA5930" w:rsidP="00D24071">
      <w:pPr>
        <w:pStyle w:val="Style12ptJustifiedLeft0Hanging05LinespacingD"/>
      </w:pPr>
      <w:r>
        <w:t>A.</w:t>
      </w:r>
      <w:r>
        <w:tab/>
        <w:t>Yes.  Based</w:t>
      </w:r>
      <w:r w:rsidR="00D24071">
        <w:t xml:space="preserve"> on my review of CenterPoint’s A</w:t>
      </w:r>
      <w:r>
        <w:t>pplic</w:t>
      </w:r>
      <w:r w:rsidR="00D718FA">
        <w:t xml:space="preserve">ation and </w:t>
      </w:r>
      <w:r w:rsidR="00C77085">
        <w:t xml:space="preserve">its </w:t>
      </w:r>
      <w:r w:rsidR="00D718FA">
        <w:t>responses to RFIs, I propose</w:t>
      </w:r>
      <w:r>
        <w:t xml:space="preserve"> several adjustments to the</w:t>
      </w:r>
      <w:r w:rsidR="00EC09A9">
        <w:t xml:space="preserve"> total </w:t>
      </w:r>
      <w:r>
        <w:t>revenue requirement</w:t>
      </w:r>
      <w:r w:rsidR="00D718FA">
        <w:t xml:space="preserve">, including direct adjustments relating to incentive compensation, supplemental (non-qualified) pension expense, injuries and damages, reduction in force from the </w:t>
      </w:r>
      <w:proofErr w:type="spellStart"/>
      <w:r w:rsidR="00D718FA">
        <w:t>Vectren</w:t>
      </w:r>
      <w:proofErr w:type="spellEnd"/>
      <w:r w:rsidR="00D718FA">
        <w:t xml:space="preserve"> acquisition, carrying charges on shared assets, regulatory asset regarding Texas margin</w:t>
      </w:r>
      <w:r w:rsidR="00235238">
        <w:t>s</w:t>
      </w:r>
      <w:r w:rsidR="00D718FA">
        <w:t xml:space="preserve"> tax, and </w:t>
      </w:r>
      <w:r w:rsidR="00D24071">
        <w:t>amortization</w:t>
      </w:r>
      <w:r w:rsidR="00D718FA">
        <w:t xml:space="preserve"> of regulatory assets and liabilities</w:t>
      </w:r>
      <w:r>
        <w:t xml:space="preserve">.  </w:t>
      </w:r>
      <w:r w:rsidR="00D24071">
        <w:t>Staff</w:t>
      </w:r>
      <w:r w:rsidR="005827AB">
        <w:t>’s</w:t>
      </w:r>
      <w:r w:rsidR="00D24071">
        <w:t xml:space="preserve"> revenue requirement model, attached to this testimony as </w:t>
      </w:r>
      <w:r w:rsidR="00D24071" w:rsidRPr="00DB0729">
        <w:t>Attachment MF-1</w:t>
      </w:r>
      <w:r w:rsidR="00D24071">
        <w:t xml:space="preserve">, also reflects the flow-through effects, based on </w:t>
      </w:r>
      <w:r w:rsidR="005827AB">
        <w:t xml:space="preserve">other </w:t>
      </w:r>
      <w:r w:rsidR="00D24071">
        <w:t xml:space="preserve">Staff recommendations, to </w:t>
      </w:r>
      <w:r w:rsidR="00D24071">
        <w:rPr>
          <w:i/>
        </w:rPr>
        <w:t xml:space="preserve">ad valorem </w:t>
      </w:r>
      <w:r w:rsidR="00D24071">
        <w:t>tax, Texas margin</w:t>
      </w:r>
      <w:r w:rsidR="00BC3C10">
        <w:t>s</w:t>
      </w:r>
      <w:r w:rsidR="00D24071">
        <w:t xml:space="preserve"> tax</w:t>
      </w:r>
      <w:r w:rsidR="005827AB">
        <w:t xml:space="preserve"> expense, payroll tax expense</w:t>
      </w:r>
      <w:r w:rsidR="00D24071">
        <w:t>, federal income tax</w:t>
      </w:r>
      <w:r w:rsidR="005827AB">
        <w:t xml:space="preserve"> expense</w:t>
      </w:r>
      <w:r w:rsidR="00D24071">
        <w:t xml:space="preserve">, </w:t>
      </w:r>
      <w:r w:rsidR="00D24071" w:rsidRPr="005827AB">
        <w:t>depreciation expense,</w:t>
      </w:r>
      <w:r w:rsidR="00D24071">
        <w:t xml:space="preserve"> and cash working capital.  </w:t>
      </w:r>
    </w:p>
    <w:p w:rsidR="00A6292C" w:rsidRDefault="00A6292C" w:rsidP="00A6292C">
      <w:pPr>
        <w:pStyle w:val="Heading1"/>
        <w:spacing w:line="480" w:lineRule="auto"/>
      </w:pPr>
      <w:bookmarkStart w:id="5" w:name="_Toc11156109"/>
      <w:r>
        <w:t>V.</w:t>
      </w:r>
      <w:r>
        <w:tab/>
        <w:t xml:space="preserve">ADJUSTMENTS TO </w:t>
      </w:r>
      <w:r w:rsidR="00F77951">
        <w:t>CENTERPOINT</w:t>
      </w:r>
      <w:r>
        <w:t>’S REQUEST</w:t>
      </w:r>
      <w:bookmarkEnd w:id="5"/>
    </w:p>
    <w:p w:rsidR="00A6292C" w:rsidRPr="009F6604" w:rsidRDefault="00A6292C" w:rsidP="00A6292C">
      <w:pPr>
        <w:pStyle w:val="Heading2"/>
        <w:spacing w:line="480" w:lineRule="auto"/>
      </w:pPr>
      <w:r w:rsidRPr="009F6604">
        <w:tab/>
      </w:r>
      <w:bookmarkStart w:id="6" w:name="_Toc11156110"/>
      <w:r w:rsidRPr="009F6604">
        <w:t>A.</w:t>
      </w:r>
      <w:r w:rsidRPr="009F6604">
        <w:tab/>
        <w:t>Incentive Compensation</w:t>
      </w:r>
      <w:bookmarkEnd w:id="6"/>
    </w:p>
    <w:p w:rsidR="00A6292C" w:rsidRDefault="00A6292C" w:rsidP="00A6292C">
      <w:pPr>
        <w:spacing w:line="480" w:lineRule="auto"/>
        <w:ind w:left="720" w:hanging="720"/>
        <w:jc w:val="both"/>
        <w:rPr>
          <w:b/>
          <w:szCs w:val="24"/>
        </w:rPr>
      </w:pPr>
      <w:r>
        <w:rPr>
          <w:b/>
          <w:szCs w:val="24"/>
        </w:rPr>
        <w:t>Q.</w:t>
      </w:r>
      <w:r>
        <w:rPr>
          <w:b/>
          <w:szCs w:val="24"/>
        </w:rPr>
        <w:tab/>
        <w:t xml:space="preserve">Please describe the Company’s request </w:t>
      </w:r>
      <w:r w:rsidR="00DB0729">
        <w:rPr>
          <w:b/>
          <w:szCs w:val="24"/>
        </w:rPr>
        <w:t xml:space="preserve">in its </w:t>
      </w:r>
      <w:r>
        <w:rPr>
          <w:b/>
          <w:szCs w:val="24"/>
        </w:rPr>
        <w:t>Application with respect to incentive compensation generally.</w:t>
      </w:r>
    </w:p>
    <w:p w:rsidR="00A6292C" w:rsidRDefault="00A6292C" w:rsidP="00A6292C">
      <w:pPr>
        <w:spacing w:line="480" w:lineRule="auto"/>
        <w:ind w:left="720" w:hanging="720"/>
        <w:jc w:val="both"/>
        <w:rPr>
          <w:szCs w:val="24"/>
        </w:rPr>
      </w:pPr>
      <w:r>
        <w:rPr>
          <w:szCs w:val="24"/>
        </w:rPr>
        <w:t>A.</w:t>
      </w:r>
      <w:r>
        <w:rPr>
          <w:szCs w:val="24"/>
        </w:rPr>
        <w:tab/>
        <w:t xml:space="preserve">CenterPoint included in its request various amounts pertaining to incentive compensation.  CenterPoint </w:t>
      </w:r>
      <w:r w:rsidR="00B30924">
        <w:rPr>
          <w:szCs w:val="24"/>
        </w:rPr>
        <w:t>requested to include in rates amounts for both short-term and long-term incentive compensation; amounts for incentive compensation incurred by the Company directly and those incurred by its affiliates; and amounts relating to incentive compensation paid for financially based measures and those paid for operational measures.  In response to RFIs, CenterPoint provided details</w:t>
      </w:r>
      <w:r w:rsidR="003E3896">
        <w:rPr>
          <w:szCs w:val="24"/>
        </w:rPr>
        <w:t xml:space="preserve"> about these amounts including</w:t>
      </w:r>
      <w:r w:rsidR="00B30924">
        <w:rPr>
          <w:szCs w:val="24"/>
        </w:rPr>
        <w:t xml:space="preserve"> breakdown</w:t>
      </w:r>
      <w:r w:rsidR="003E3896">
        <w:rPr>
          <w:szCs w:val="24"/>
        </w:rPr>
        <w:t>s</w:t>
      </w:r>
      <w:r w:rsidR="00B30924">
        <w:rPr>
          <w:szCs w:val="24"/>
        </w:rPr>
        <w:t xml:space="preserve"> by FERC account.</w:t>
      </w:r>
      <w:r w:rsidR="00B30924">
        <w:rPr>
          <w:rStyle w:val="FootnoteReference"/>
          <w:szCs w:val="24"/>
        </w:rPr>
        <w:footnoteReference w:id="6"/>
      </w:r>
      <w:r w:rsidR="00B30924">
        <w:rPr>
          <w:szCs w:val="24"/>
        </w:rPr>
        <w:t xml:space="preserve"> </w:t>
      </w:r>
    </w:p>
    <w:p w:rsidR="00B64787" w:rsidRDefault="00B64787" w:rsidP="00A6292C">
      <w:pPr>
        <w:spacing w:line="480" w:lineRule="auto"/>
        <w:ind w:left="720" w:hanging="720"/>
        <w:jc w:val="both"/>
        <w:rPr>
          <w:szCs w:val="24"/>
        </w:rPr>
      </w:pPr>
      <w:r>
        <w:rPr>
          <w:szCs w:val="24"/>
        </w:rPr>
        <w:tab/>
      </w:r>
      <w:r>
        <w:rPr>
          <w:szCs w:val="24"/>
        </w:rPr>
        <w:tab/>
        <w:t xml:space="preserve">Company witnesses </w:t>
      </w:r>
      <w:r w:rsidR="009C670E">
        <w:rPr>
          <w:szCs w:val="24"/>
        </w:rPr>
        <w:t>Kristie</w:t>
      </w:r>
      <w:r w:rsidR="00BC3C10">
        <w:rPr>
          <w:szCs w:val="24"/>
        </w:rPr>
        <w:t xml:space="preserve"> L.</w:t>
      </w:r>
      <w:r w:rsidR="009C670E">
        <w:rPr>
          <w:szCs w:val="24"/>
        </w:rPr>
        <w:t xml:space="preserve"> Colvin</w:t>
      </w:r>
      <w:r>
        <w:rPr>
          <w:szCs w:val="24"/>
        </w:rPr>
        <w:t xml:space="preserve"> and </w:t>
      </w:r>
      <w:r w:rsidR="00715566">
        <w:rPr>
          <w:szCs w:val="24"/>
        </w:rPr>
        <w:t xml:space="preserve">Lynne </w:t>
      </w:r>
      <w:proofErr w:type="spellStart"/>
      <w:r w:rsidR="00715566">
        <w:rPr>
          <w:szCs w:val="24"/>
        </w:rPr>
        <w:t>Harkel</w:t>
      </w:r>
      <w:proofErr w:type="spellEnd"/>
      <w:r w:rsidR="00715566">
        <w:rPr>
          <w:szCs w:val="24"/>
        </w:rPr>
        <w:t>-Rumford</w:t>
      </w:r>
      <w:r>
        <w:rPr>
          <w:szCs w:val="24"/>
        </w:rPr>
        <w:t xml:space="preserve"> </w:t>
      </w:r>
      <w:r w:rsidR="009C670E">
        <w:rPr>
          <w:szCs w:val="24"/>
        </w:rPr>
        <w:t>discuss CenterPoint’s</w:t>
      </w:r>
      <w:r>
        <w:rPr>
          <w:szCs w:val="24"/>
        </w:rPr>
        <w:t xml:space="preserve"> request for incentive compensation</w:t>
      </w:r>
      <w:r w:rsidR="009C670E">
        <w:rPr>
          <w:szCs w:val="24"/>
        </w:rPr>
        <w:t xml:space="preserve"> generally; Ms. </w:t>
      </w:r>
      <w:proofErr w:type="spellStart"/>
      <w:r w:rsidR="009C670E">
        <w:rPr>
          <w:szCs w:val="24"/>
        </w:rPr>
        <w:t>Harkel</w:t>
      </w:r>
      <w:proofErr w:type="spellEnd"/>
      <w:r w:rsidR="009C670E">
        <w:rPr>
          <w:szCs w:val="24"/>
        </w:rPr>
        <w:t>-</w:t>
      </w:r>
      <w:proofErr w:type="gramStart"/>
      <w:r w:rsidR="009C670E">
        <w:rPr>
          <w:szCs w:val="24"/>
        </w:rPr>
        <w:t>Rumford  further</w:t>
      </w:r>
      <w:proofErr w:type="gramEnd"/>
      <w:r w:rsidR="009C670E">
        <w:rPr>
          <w:szCs w:val="24"/>
        </w:rPr>
        <w:t xml:space="preserve"> elaborates on the specific amount</w:t>
      </w:r>
      <w:r w:rsidR="003E3896">
        <w:rPr>
          <w:szCs w:val="24"/>
        </w:rPr>
        <w:t>s</w:t>
      </w:r>
      <w:r w:rsidR="009C670E">
        <w:rPr>
          <w:szCs w:val="24"/>
        </w:rPr>
        <w:t xml:space="preserve"> and calculations included in CenterPoint’s request.  </w:t>
      </w:r>
      <w:r>
        <w:rPr>
          <w:szCs w:val="24"/>
        </w:rPr>
        <w:t xml:space="preserve"> </w:t>
      </w:r>
      <w:r w:rsidR="009C670E">
        <w:rPr>
          <w:szCs w:val="24"/>
        </w:rPr>
        <w:t>Company witness John J. Reed discusses</w:t>
      </w:r>
      <w:r>
        <w:rPr>
          <w:szCs w:val="24"/>
        </w:rPr>
        <w:t xml:space="preserve"> </w:t>
      </w:r>
      <w:r w:rsidR="009C670E">
        <w:rPr>
          <w:szCs w:val="24"/>
        </w:rPr>
        <w:t xml:space="preserve">what he believes to be </w:t>
      </w:r>
      <w:r>
        <w:rPr>
          <w:szCs w:val="24"/>
        </w:rPr>
        <w:t xml:space="preserve">the reasonableness of the Company’s inclusion of financially based incentive despite </w:t>
      </w:r>
      <w:r w:rsidRPr="005827AB">
        <w:rPr>
          <w:szCs w:val="24"/>
        </w:rPr>
        <w:t>long-standing Commission</w:t>
      </w:r>
      <w:r>
        <w:rPr>
          <w:szCs w:val="24"/>
        </w:rPr>
        <w:t xml:space="preserve"> preced</w:t>
      </w:r>
      <w:r w:rsidR="00D418EF">
        <w:rPr>
          <w:szCs w:val="24"/>
        </w:rPr>
        <w:t>ent disallowing it</w:t>
      </w:r>
      <w:r>
        <w:rPr>
          <w:szCs w:val="24"/>
        </w:rPr>
        <w:t>.</w:t>
      </w:r>
    </w:p>
    <w:p w:rsidR="0009312F" w:rsidRDefault="0009312F" w:rsidP="0009312F">
      <w:pPr>
        <w:spacing w:line="480" w:lineRule="auto"/>
        <w:ind w:left="720" w:hanging="720"/>
        <w:jc w:val="both"/>
        <w:rPr>
          <w:b/>
          <w:szCs w:val="24"/>
        </w:rPr>
      </w:pPr>
      <w:r>
        <w:rPr>
          <w:b/>
          <w:szCs w:val="24"/>
        </w:rPr>
        <w:t>Q.</w:t>
      </w:r>
      <w:r>
        <w:rPr>
          <w:b/>
          <w:szCs w:val="24"/>
        </w:rPr>
        <w:tab/>
        <w:t>Did CenterPoint’s overall incentive compensation include a financial trigger?</w:t>
      </w:r>
    </w:p>
    <w:p w:rsidR="003E3896" w:rsidRDefault="0009312F" w:rsidP="003E3896">
      <w:pPr>
        <w:pStyle w:val="FOFNumbered"/>
        <w:numPr>
          <w:ilvl w:val="0"/>
          <w:numId w:val="0"/>
        </w:numPr>
        <w:spacing w:line="480" w:lineRule="auto"/>
        <w:ind w:left="720" w:hanging="720"/>
      </w:pPr>
      <w:r>
        <w:rPr>
          <w:szCs w:val="24"/>
        </w:rPr>
        <w:t>A.</w:t>
      </w:r>
      <w:r>
        <w:rPr>
          <w:szCs w:val="24"/>
        </w:rPr>
        <w:tab/>
        <w:t xml:space="preserve">Yes.  In her direct testimony, Ms. </w:t>
      </w:r>
      <w:proofErr w:type="spellStart"/>
      <w:r>
        <w:rPr>
          <w:szCs w:val="24"/>
        </w:rPr>
        <w:t>Harkel</w:t>
      </w:r>
      <w:proofErr w:type="spellEnd"/>
      <w:r>
        <w:rPr>
          <w:szCs w:val="24"/>
        </w:rPr>
        <w:t>-Rumford</w:t>
      </w:r>
      <w:r w:rsidR="003E3896">
        <w:rPr>
          <w:szCs w:val="24"/>
        </w:rPr>
        <w:t xml:space="preserve"> notes,</w:t>
      </w:r>
    </w:p>
    <w:p w:rsidR="003E3896" w:rsidRPr="007A22A5" w:rsidRDefault="003E3896" w:rsidP="00D47F6F">
      <w:pPr>
        <w:pStyle w:val="FOFNumbered"/>
        <w:numPr>
          <w:ilvl w:val="0"/>
          <w:numId w:val="0"/>
        </w:numPr>
        <w:spacing w:after="120" w:line="240" w:lineRule="auto"/>
        <w:ind w:left="1440" w:right="720"/>
        <w:rPr>
          <w:rFonts w:eastAsia="Calibri"/>
        </w:rPr>
      </w:pPr>
      <w:r>
        <w:rPr>
          <w:rFonts w:eastAsia="Calibri"/>
        </w:rPr>
        <w:t>In addition, the STI [short-term incentive] plan is funded only when CNP [</w:t>
      </w:r>
      <w:r w:rsidRPr="005827AB">
        <w:rPr>
          <w:rFonts w:eastAsia="Calibri"/>
        </w:rPr>
        <w:t>CenterPoint</w:t>
      </w:r>
      <w:r w:rsidR="00D24071" w:rsidRPr="005827AB">
        <w:rPr>
          <w:rFonts w:eastAsia="Calibri"/>
        </w:rPr>
        <w:t xml:space="preserve"> Energy, Inc.</w:t>
      </w:r>
      <w:r w:rsidRPr="005827AB">
        <w:rPr>
          <w:rFonts w:eastAsia="Calibri"/>
        </w:rPr>
        <w:t>]</w:t>
      </w:r>
      <w:r>
        <w:rPr>
          <w:rFonts w:eastAsia="Calibri"/>
        </w:rPr>
        <w:t xml:space="preserve"> achieves the plan goals, which are linked to creating benefits for key stakeholders, including customers</w:t>
      </w:r>
      <w:r w:rsidRPr="00CB2A2B">
        <w:rPr>
          <w:rFonts w:eastAsia="Calibri"/>
        </w:rPr>
        <w:t>.</w:t>
      </w:r>
      <w:r>
        <w:rPr>
          <w:rStyle w:val="FootnoteReference"/>
          <w:rFonts w:eastAsia="Calibri"/>
        </w:rPr>
        <w:footnoteReference w:id="7"/>
      </w:r>
    </w:p>
    <w:p w:rsidR="0009312F" w:rsidRPr="003E3896" w:rsidRDefault="003E3896" w:rsidP="003E3896">
      <w:pPr>
        <w:spacing w:line="480" w:lineRule="auto"/>
        <w:ind w:left="720"/>
        <w:jc w:val="both"/>
        <w:rPr>
          <w:szCs w:val="24"/>
        </w:rPr>
      </w:pPr>
      <w:r>
        <w:t>The payments for all incentive compensa</w:t>
      </w:r>
      <w:r w:rsidR="005827AB">
        <w:t xml:space="preserve">tion amounts depended </w:t>
      </w:r>
      <w:r>
        <w:t>on the achievement of overall plan goals</w:t>
      </w:r>
      <w:r w:rsidR="00EC09A9">
        <w:t>, including financial measures</w:t>
      </w:r>
      <w:r>
        <w:t xml:space="preserve">. </w:t>
      </w:r>
    </w:p>
    <w:p w:rsidR="00B30924" w:rsidRDefault="00B30924" w:rsidP="00BC3C10">
      <w:pPr>
        <w:spacing w:after="0" w:line="480" w:lineRule="auto"/>
        <w:ind w:left="720" w:hanging="720"/>
        <w:jc w:val="both"/>
        <w:rPr>
          <w:b/>
          <w:szCs w:val="24"/>
        </w:rPr>
      </w:pPr>
      <w:r>
        <w:rPr>
          <w:b/>
          <w:szCs w:val="24"/>
        </w:rPr>
        <w:t>Q.</w:t>
      </w:r>
      <w:r>
        <w:rPr>
          <w:b/>
          <w:szCs w:val="24"/>
        </w:rPr>
        <w:tab/>
        <w:t>Please discuss</w:t>
      </w:r>
      <w:r w:rsidR="00D56358" w:rsidRPr="005827AB">
        <w:rPr>
          <w:b/>
          <w:szCs w:val="24"/>
        </w:rPr>
        <w:t>, at a high level,</w:t>
      </w:r>
      <w:r>
        <w:rPr>
          <w:b/>
          <w:szCs w:val="24"/>
        </w:rPr>
        <w:t xml:space="preserve"> your adjustment related to CenterPoint’s financial based incentive compensation</w:t>
      </w:r>
      <w:r w:rsidR="00B64787">
        <w:rPr>
          <w:b/>
          <w:szCs w:val="24"/>
        </w:rPr>
        <w:t xml:space="preserve"> </w:t>
      </w:r>
      <w:r w:rsidR="00B64787" w:rsidRPr="005827AB">
        <w:rPr>
          <w:b/>
          <w:szCs w:val="24"/>
        </w:rPr>
        <w:t>and overall incentive compensation requested in rates</w:t>
      </w:r>
      <w:r w:rsidRPr="005827AB">
        <w:rPr>
          <w:b/>
          <w:szCs w:val="24"/>
        </w:rPr>
        <w:t>.</w:t>
      </w:r>
    </w:p>
    <w:p w:rsidR="00B30924" w:rsidRDefault="00B30924" w:rsidP="00BC3C10">
      <w:pPr>
        <w:pStyle w:val="BodyText"/>
        <w:spacing w:before="0" w:line="480" w:lineRule="auto"/>
        <w:ind w:left="720" w:right="547" w:hanging="720"/>
        <w:rPr>
          <w:szCs w:val="24"/>
        </w:rPr>
      </w:pPr>
      <w:r>
        <w:rPr>
          <w:szCs w:val="24"/>
        </w:rPr>
        <w:t>A.</w:t>
      </w:r>
      <w:r w:rsidR="00E92225">
        <w:rPr>
          <w:szCs w:val="24"/>
        </w:rPr>
        <w:tab/>
        <w:t>I recommend ad</w:t>
      </w:r>
      <w:r w:rsidR="00D24071">
        <w:rPr>
          <w:szCs w:val="24"/>
        </w:rPr>
        <w:t>justing CenterPoint’s request by removing</w:t>
      </w:r>
      <w:r w:rsidR="00E92225">
        <w:rPr>
          <w:szCs w:val="24"/>
        </w:rPr>
        <w:t xml:space="preserve"> all amounts relating to financially based incentive </w:t>
      </w:r>
      <w:r w:rsidR="00E92225" w:rsidRPr="00D24071">
        <w:rPr>
          <w:szCs w:val="24"/>
        </w:rPr>
        <w:t>compensation and some amounts relating to other (non-financially based) incentive compensation</w:t>
      </w:r>
      <w:r w:rsidR="00E92225">
        <w:rPr>
          <w:szCs w:val="24"/>
        </w:rPr>
        <w:t xml:space="preserve">.  My recommendation </w:t>
      </w:r>
      <w:r w:rsidR="005827AB">
        <w:rPr>
          <w:szCs w:val="24"/>
        </w:rPr>
        <w:t>aligns</w:t>
      </w:r>
      <w:r w:rsidR="00E92225">
        <w:rPr>
          <w:szCs w:val="24"/>
        </w:rPr>
        <w:t xml:space="preserve"> </w:t>
      </w:r>
      <w:r w:rsidR="00D56358">
        <w:rPr>
          <w:szCs w:val="24"/>
        </w:rPr>
        <w:t xml:space="preserve">with long-standing and recent </w:t>
      </w:r>
      <w:r w:rsidR="00E92225">
        <w:rPr>
          <w:szCs w:val="24"/>
        </w:rPr>
        <w:t>Commission prece</w:t>
      </w:r>
      <w:r w:rsidR="005827AB">
        <w:rPr>
          <w:szCs w:val="24"/>
        </w:rPr>
        <w:t>dent on incentive compensation</w:t>
      </w:r>
      <w:r w:rsidR="00522A2F">
        <w:rPr>
          <w:szCs w:val="24"/>
        </w:rPr>
        <w:t xml:space="preserve"> (as discussed below)</w:t>
      </w:r>
      <w:r w:rsidR="005827AB">
        <w:rPr>
          <w:szCs w:val="24"/>
        </w:rPr>
        <w:t>.</w:t>
      </w:r>
    </w:p>
    <w:p w:rsidR="00B75FAD" w:rsidRDefault="00B75FAD" w:rsidP="00BC3C10">
      <w:pPr>
        <w:spacing w:after="0" w:line="480" w:lineRule="auto"/>
        <w:ind w:left="720" w:hanging="720"/>
        <w:jc w:val="both"/>
        <w:rPr>
          <w:b/>
          <w:szCs w:val="24"/>
        </w:rPr>
      </w:pPr>
      <w:r>
        <w:rPr>
          <w:b/>
          <w:szCs w:val="24"/>
        </w:rPr>
        <w:t>Q.</w:t>
      </w:r>
      <w:r>
        <w:rPr>
          <w:b/>
          <w:szCs w:val="24"/>
        </w:rPr>
        <w:tab/>
        <w:t>Why would a public utility commission or public service commission prohibit the inclusion of financially-based incentive compensation in rates?</w:t>
      </w:r>
    </w:p>
    <w:p w:rsidR="009C670E" w:rsidRPr="00D57865" w:rsidRDefault="00B75FAD" w:rsidP="00D57865">
      <w:pPr>
        <w:spacing w:line="480" w:lineRule="auto"/>
        <w:ind w:left="720" w:hanging="720"/>
        <w:jc w:val="both"/>
        <w:rPr>
          <w:szCs w:val="24"/>
        </w:rPr>
      </w:pPr>
      <w:r>
        <w:rPr>
          <w:szCs w:val="24"/>
        </w:rPr>
        <w:t>A.</w:t>
      </w:r>
      <w:r>
        <w:rPr>
          <w:szCs w:val="24"/>
        </w:rPr>
        <w:tab/>
        <w:t>From a theoretical perspective</w:t>
      </w:r>
      <w:r w:rsidR="00D418EF">
        <w:rPr>
          <w:szCs w:val="24"/>
        </w:rPr>
        <w:t xml:space="preserve"> of utility ratemaking</w:t>
      </w:r>
      <w:r>
        <w:rPr>
          <w:szCs w:val="24"/>
        </w:rPr>
        <w:t xml:space="preserve">, the </w:t>
      </w:r>
      <w:r w:rsidR="00CE6338">
        <w:rPr>
          <w:szCs w:val="24"/>
        </w:rPr>
        <w:t>benefits that arise from a utility achieving financial metrics—including those relating to maximizing profit and growth, to increasing earnings per share, and to increasing return on equ</w:t>
      </w:r>
      <w:r w:rsidR="00D24071">
        <w:rPr>
          <w:szCs w:val="24"/>
        </w:rPr>
        <w:t>ity—tend to</w:t>
      </w:r>
      <w:r w:rsidR="00D418EF">
        <w:rPr>
          <w:szCs w:val="24"/>
        </w:rPr>
        <w:t xml:space="preserve"> </w:t>
      </w:r>
      <w:r w:rsidR="00CE6338">
        <w:rPr>
          <w:szCs w:val="24"/>
        </w:rPr>
        <w:t xml:space="preserve">accrue to the benefit of Company shareholders and executives (and other employees), not to the benefit of ratepayers.  Conversely, the same theoretical underpinnings hold that benefits that arise from a utility achieving operational metrics—including those relating </w:t>
      </w:r>
      <w:r w:rsidR="009C670E">
        <w:rPr>
          <w:szCs w:val="24"/>
        </w:rPr>
        <w:t xml:space="preserve">to safety and </w:t>
      </w:r>
      <w:r w:rsidR="00CE6338">
        <w:rPr>
          <w:szCs w:val="24"/>
        </w:rPr>
        <w:t xml:space="preserve">to </w:t>
      </w:r>
      <w:r w:rsidR="009C670E">
        <w:rPr>
          <w:szCs w:val="24"/>
        </w:rPr>
        <w:t>customer satisfaction</w:t>
      </w:r>
      <w:r w:rsidR="00D24071">
        <w:rPr>
          <w:szCs w:val="24"/>
        </w:rPr>
        <w:t>—tend to</w:t>
      </w:r>
      <w:r w:rsidR="00D418EF">
        <w:rPr>
          <w:szCs w:val="24"/>
        </w:rPr>
        <w:t xml:space="preserve"> </w:t>
      </w:r>
      <w:r w:rsidR="00CE6338">
        <w:rPr>
          <w:szCs w:val="24"/>
        </w:rPr>
        <w:t>accrue to the benefit of</w:t>
      </w:r>
      <w:r w:rsidR="009C670E">
        <w:rPr>
          <w:szCs w:val="24"/>
        </w:rPr>
        <w:t xml:space="preserve"> all stakeholders, including ratepayers.</w:t>
      </w:r>
    </w:p>
    <w:p w:rsidR="00D418EF" w:rsidRDefault="00D418EF" w:rsidP="00D418EF">
      <w:pPr>
        <w:spacing w:line="480" w:lineRule="auto"/>
        <w:ind w:left="720" w:hanging="720"/>
        <w:jc w:val="both"/>
        <w:rPr>
          <w:b/>
          <w:szCs w:val="24"/>
        </w:rPr>
      </w:pPr>
      <w:r>
        <w:rPr>
          <w:b/>
          <w:szCs w:val="24"/>
        </w:rPr>
        <w:t>Q.</w:t>
      </w:r>
      <w:r>
        <w:rPr>
          <w:b/>
          <w:szCs w:val="24"/>
        </w:rPr>
        <w:tab/>
        <w:t>Are you persuaded by CenterPoint’s arguments about the reasonableness of inclusion of financially based incentive compensation in rates despite many general arguments to the contrary and long-standing Commission precedent disallowing it?</w:t>
      </w:r>
    </w:p>
    <w:p w:rsidR="00B30924" w:rsidRDefault="00D418EF" w:rsidP="00D418EF">
      <w:pPr>
        <w:spacing w:line="480" w:lineRule="auto"/>
        <w:ind w:left="720" w:hanging="720"/>
        <w:jc w:val="both"/>
        <w:rPr>
          <w:szCs w:val="24"/>
        </w:rPr>
      </w:pPr>
      <w:r>
        <w:rPr>
          <w:szCs w:val="24"/>
        </w:rPr>
        <w:t>A.</w:t>
      </w:r>
      <w:r>
        <w:rPr>
          <w:szCs w:val="24"/>
        </w:rPr>
        <w:tab/>
        <w:t>No; not at all.</w:t>
      </w:r>
      <w:r w:rsidR="004A7ACE">
        <w:rPr>
          <w:szCs w:val="24"/>
        </w:rPr>
        <w:t xml:space="preserve">  The Commission precedent disallowing financially based incentive compensation is long-standing and unambiguous.</w:t>
      </w:r>
    </w:p>
    <w:p w:rsidR="004A7ACE" w:rsidRDefault="004A7ACE" w:rsidP="00D418EF">
      <w:pPr>
        <w:spacing w:line="480" w:lineRule="auto"/>
        <w:ind w:left="720" w:hanging="720"/>
        <w:jc w:val="both"/>
        <w:rPr>
          <w:szCs w:val="24"/>
        </w:rPr>
      </w:pPr>
      <w:r>
        <w:rPr>
          <w:szCs w:val="24"/>
        </w:rPr>
        <w:tab/>
      </w:r>
      <w:r>
        <w:rPr>
          <w:szCs w:val="24"/>
        </w:rPr>
        <w:tab/>
        <w:t>Furthermore, when considering inclusion of non-financially based incentive compensation in Docket No. 43695 at its Open Meeting held December 3, 2015, the Commission stated:</w:t>
      </w:r>
    </w:p>
    <w:p w:rsidR="004A7ACE" w:rsidRPr="007A22A5" w:rsidRDefault="004A7ACE" w:rsidP="00D47F6F">
      <w:pPr>
        <w:pStyle w:val="FOFNumbered"/>
        <w:numPr>
          <w:ilvl w:val="0"/>
          <w:numId w:val="0"/>
        </w:numPr>
        <w:spacing w:after="120" w:line="240" w:lineRule="auto"/>
        <w:ind w:left="1440" w:right="720"/>
        <w:rPr>
          <w:rFonts w:eastAsia="Calibri"/>
        </w:rPr>
      </w:pPr>
      <w:r>
        <w:rPr>
          <w:rFonts w:eastAsia="Calibri"/>
        </w:rPr>
        <w:t>[W]e have well established precedent on incentive compensation and I think a high bar should be placed for recovery of any plan that mixes financially-based and performance-based metrics</w:t>
      </w:r>
      <w:r w:rsidRPr="00CB2A2B">
        <w:rPr>
          <w:rFonts w:eastAsia="Calibri"/>
        </w:rPr>
        <w:t>.</w:t>
      </w:r>
      <w:r>
        <w:rPr>
          <w:rStyle w:val="FootnoteReference"/>
          <w:rFonts w:eastAsia="Calibri"/>
        </w:rPr>
        <w:footnoteReference w:id="8"/>
      </w:r>
    </w:p>
    <w:p w:rsidR="004A7ACE" w:rsidRDefault="004A7ACE" w:rsidP="004A7ACE">
      <w:pPr>
        <w:pStyle w:val="BodyText"/>
        <w:spacing w:line="480" w:lineRule="auto"/>
        <w:ind w:left="720"/>
      </w:pPr>
      <w:r>
        <w:t>It is important to note that the “high bar” referred to the amounts for non-financially based incentive compensation; the financially based amounts were not being addressed in this quote, and those amounts were removed entirely in the final order.</w:t>
      </w:r>
    </w:p>
    <w:p w:rsidR="00081F5C" w:rsidRPr="004A7ACE" w:rsidRDefault="00081F5C" w:rsidP="004A7ACE">
      <w:pPr>
        <w:pStyle w:val="BodyText"/>
        <w:spacing w:line="480" w:lineRule="auto"/>
        <w:ind w:left="720"/>
      </w:pPr>
    </w:p>
    <w:p w:rsidR="00D418EF" w:rsidRDefault="00D418EF" w:rsidP="00A67425">
      <w:pPr>
        <w:spacing w:after="0" w:line="480" w:lineRule="auto"/>
        <w:ind w:left="720" w:hanging="720"/>
        <w:jc w:val="both"/>
        <w:rPr>
          <w:b/>
          <w:szCs w:val="24"/>
        </w:rPr>
      </w:pPr>
      <w:r>
        <w:rPr>
          <w:b/>
          <w:szCs w:val="24"/>
        </w:rPr>
        <w:t>Q.</w:t>
      </w:r>
      <w:r>
        <w:rPr>
          <w:b/>
          <w:szCs w:val="24"/>
        </w:rPr>
        <w:tab/>
      </w:r>
      <w:r w:rsidR="00D56358">
        <w:rPr>
          <w:b/>
          <w:szCs w:val="24"/>
        </w:rPr>
        <w:t>I</w:t>
      </w:r>
      <w:r>
        <w:rPr>
          <w:b/>
          <w:szCs w:val="24"/>
        </w:rPr>
        <w:t>s your recommendation regarding incentive compensation</w:t>
      </w:r>
      <w:r w:rsidR="00D56358">
        <w:rPr>
          <w:b/>
          <w:szCs w:val="24"/>
        </w:rPr>
        <w:t xml:space="preserve"> consistent with Commission precedent</w:t>
      </w:r>
      <w:r>
        <w:rPr>
          <w:b/>
          <w:szCs w:val="24"/>
        </w:rPr>
        <w:t>?</w:t>
      </w:r>
    </w:p>
    <w:p w:rsidR="00D418EF" w:rsidRDefault="00D418EF" w:rsidP="00A67425">
      <w:pPr>
        <w:spacing w:after="0" w:line="480" w:lineRule="auto"/>
        <w:ind w:left="720" w:hanging="720"/>
        <w:jc w:val="both"/>
        <w:rPr>
          <w:szCs w:val="24"/>
        </w:rPr>
      </w:pPr>
      <w:r>
        <w:rPr>
          <w:szCs w:val="24"/>
        </w:rPr>
        <w:t>A.</w:t>
      </w:r>
      <w:r>
        <w:rPr>
          <w:szCs w:val="24"/>
        </w:rPr>
        <w:tab/>
      </w:r>
      <w:r w:rsidR="00D56358">
        <w:rPr>
          <w:szCs w:val="24"/>
        </w:rPr>
        <w:t xml:space="preserve">Yes.  Consistent with the Commission’s </w:t>
      </w:r>
      <w:r w:rsidR="00046F8E">
        <w:rPr>
          <w:szCs w:val="24"/>
        </w:rPr>
        <w:t xml:space="preserve">recent </w:t>
      </w:r>
      <w:r w:rsidR="00D56358">
        <w:rPr>
          <w:szCs w:val="24"/>
        </w:rPr>
        <w:t xml:space="preserve">precedent in Docket Nos. 43695 and 46449, </w:t>
      </w:r>
      <w:r>
        <w:rPr>
          <w:szCs w:val="24"/>
        </w:rPr>
        <w:t xml:space="preserve">I recommend removing all of CenterPoint’s financially based incentive compensation </w:t>
      </w:r>
      <w:r w:rsidR="000B7FB1">
        <w:rPr>
          <w:szCs w:val="24"/>
        </w:rPr>
        <w:t>and half of CenterPoint’s other</w:t>
      </w:r>
      <w:r w:rsidR="00046F8E">
        <w:rPr>
          <w:szCs w:val="24"/>
        </w:rPr>
        <w:t xml:space="preserve"> (non-financially based)</w:t>
      </w:r>
      <w:r w:rsidR="000B7FB1">
        <w:rPr>
          <w:szCs w:val="24"/>
        </w:rPr>
        <w:t xml:space="preserve"> incentive compensation from rates.</w:t>
      </w:r>
    </w:p>
    <w:p w:rsidR="000B7FB1" w:rsidRDefault="000B7FB1" w:rsidP="00A67425">
      <w:pPr>
        <w:spacing w:after="0" w:line="480" w:lineRule="auto"/>
        <w:ind w:left="720" w:hanging="720"/>
        <w:jc w:val="both"/>
        <w:rPr>
          <w:b/>
          <w:szCs w:val="24"/>
        </w:rPr>
      </w:pPr>
      <w:r>
        <w:rPr>
          <w:b/>
          <w:szCs w:val="24"/>
        </w:rPr>
        <w:t>Q.</w:t>
      </w:r>
      <w:r>
        <w:rPr>
          <w:b/>
          <w:szCs w:val="24"/>
        </w:rPr>
        <w:tab/>
      </w:r>
      <w:r w:rsidR="00E2415C">
        <w:rPr>
          <w:b/>
          <w:szCs w:val="24"/>
        </w:rPr>
        <w:t xml:space="preserve">What is the history of Commission precedent on incentive compensation?  </w:t>
      </w:r>
      <w:r>
        <w:rPr>
          <w:b/>
          <w:szCs w:val="24"/>
        </w:rPr>
        <w:t xml:space="preserve">What was the Commission’s </w:t>
      </w:r>
      <w:r w:rsidR="00E2415C">
        <w:rPr>
          <w:b/>
          <w:szCs w:val="24"/>
        </w:rPr>
        <w:t xml:space="preserve">specific </w:t>
      </w:r>
      <w:r>
        <w:rPr>
          <w:b/>
          <w:szCs w:val="24"/>
        </w:rPr>
        <w:t>treatment of incentive compensation in Docket Nos. 43695 and 46449</w:t>
      </w:r>
      <w:r w:rsidR="0012158A">
        <w:rPr>
          <w:b/>
          <w:szCs w:val="24"/>
        </w:rPr>
        <w:t xml:space="preserve"> </w:t>
      </w:r>
      <w:r w:rsidR="0012158A" w:rsidRPr="002C0F6F">
        <w:rPr>
          <w:b/>
          <w:szCs w:val="24"/>
        </w:rPr>
        <w:t>that you mention</w:t>
      </w:r>
      <w:r>
        <w:rPr>
          <w:b/>
          <w:szCs w:val="24"/>
        </w:rPr>
        <w:t>?</w:t>
      </w:r>
    </w:p>
    <w:p w:rsidR="0012158A" w:rsidRDefault="000B7FB1" w:rsidP="00487639">
      <w:pPr>
        <w:pStyle w:val="FOFNumbered"/>
        <w:numPr>
          <w:ilvl w:val="0"/>
          <w:numId w:val="0"/>
        </w:numPr>
        <w:spacing w:before="0" w:line="480" w:lineRule="auto"/>
        <w:ind w:left="720" w:hanging="720"/>
      </w:pPr>
      <w:r>
        <w:rPr>
          <w:szCs w:val="24"/>
        </w:rPr>
        <w:t>A.</w:t>
      </w:r>
      <w:r>
        <w:rPr>
          <w:szCs w:val="24"/>
        </w:rPr>
        <w:tab/>
      </w:r>
      <w:r w:rsidR="004A7ACE">
        <w:rPr>
          <w:szCs w:val="24"/>
        </w:rPr>
        <w:t>There are long-</w:t>
      </w:r>
      <w:r w:rsidR="0012158A">
        <w:rPr>
          <w:szCs w:val="24"/>
        </w:rPr>
        <w:t xml:space="preserve">standing and multiple Commission precedents disallowing financially based incentive compensation from rates.  </w:t>
      </w:r>
      <w:r w:rsidR="00E2415C">
        <w:rPr>
          <w:szCs w:val="24"/>
        </w:rPr>
        <w:t xml:space="preserve">In </w:t>
      </w:r>
      <w:r w:rsidR="0012158A">
        <w:rPr>
          <w:szCs w:val="24"/>
        </w:rPr>
        <w:t>Docket No. 33309, a base rate case for another TDU in Texas,</w:t>
      </w:r>
      <w:r w:rsidR="0012158A">
        <w:t xml:space="preserve"> for example, the Commission disallowed AEP’s financially based incentive compensation, finding that:</w:t>
      </w:r>
    </w:p>
    <w:p w:rsidR="0012158A" w:rsidRPr="007A22A5" w:rsidRDefault="0012158A" w:rsidP="00D47F6F">
      <w:pPr>
        <w:pStyle w:val="FOFNumbered"/>
        <w:numPr>
          <w:ilvl w:val="0"/>
          <w:numId w:val="0"/>
        </w:numPr>
        <w:spacing w:after="120" w:line="240" w:lineRule="auto"/>
        <w:ind w:left="1440" w:right="720"/>
        <w:rPr>
          <w:rFonts w:eastAsia="Calibri"/>
        </w:rPr>
      </w:pPr>
      <w:r>
        <w:rPr>
          <w:rFonts w:eastAsia="Calibri"/>
        </w:rPr>
        <w:t>TCC</w:t>
      </w:r>
      <w:r w:rsidR="00213B0B">
        <w:rPr>
          <w:rFonts w:eastAsia="Calibri"/>
        </w:rPr>
        <w:t>’s</w:t>
      </w:r>
      <w:r>
        <w:rPr>
          <w:rFonts w:eastAsia="Calibri"/>
        </w:rPr>
        <w:t xml:space="preserve"> </w:t>
      </w:r>
      <w:r w:rsidRPr="00BC3C10">
        <w:rPr>
          <w:rFonts w:eastAsia="Calibri"/>
        </w:rPr>
        <w:t>[AEP Texas Central Company, predecessor of AEP]</w:t>
      </w:r>
      <w:r>
        <w:rPr>
          <w:rFonts w:eastAsia="Calibri"/>
        </w:rPr>
        <w:t xml:space="preserve"> inclusion of annual and long-term incentive compensation related to financial incentives in cost of service is unreasonable because it is not necessary for the provision of T&amp;D </w:t>
      </w:r>
      <w:r w:rsidRPr="00BC3C10">
        <w:rPr>
          <w:rFonts w:eastAsia="Calibri"/>
        </w:rPr>
        <w:t>[transmission and distribution]</w:t>
      </w:r>
      <w:r>
        <w:rPr>
          <w:rFonts w:eastAsia="Calibri"/>
        </w:rPr>
        <w:t xml:space="preserve"> utility services</w:t>
      </w:r>
      <w:r w:rsidRPr="00CB2A2B">
        <w:rPr>
          <w:rFonts w:eastAsia="Calibri"/>
        </w:rPr>
        <w:t>.</w:t>
      </w:r>
      <w:r>
        <w:rPr>
          <w:rStyle w:val="FootnoteReference"/>
          <w:rFonts w:eastAsia="Calibri"/>
        </w:rPr>
        <w:footnoteReference w:id="9"/>
      </w:r>
    </w:p>
    <w:p w:rsidR="0012158A" w:rsidRDefault="0012158A" w:rsidP="00BC3C10">
      <w:pPr>
        <w:pStyle w:val="BodyText"/>
        <w:spacing w:line="480" w:lineRule="auto"/>
        <w:ind w:left="720" w:right="547"/>
      </w:pPr>
      <w:r>
        <w:t>This finding in Docket No. 33309 has been upheld</w:t>
      </w:r>
      <w:r w:rsidR="00EC09A9">
        <w:t xml:space="preserve"> </w:t>
      </w:r>
      <w:r>
        <w:t>numerous times since in subsequent dockets.</w:t>
      </w:r>
    </w:p>
    <w:p w:rsidR="0012158A" w:rsidRDefault="0012158A" w:rsidP="00BC3C10">
      <w:pPr>
        <w:pStyle w:val="BodyText"/>
        <w:spacing w:before="0" w:line="480" w:lineRule="auto"/>
        <w:ind w:left="720" w:right="547" w:firstLine="720"/>
        <w:rPr>
          <w:szCs w:val="24"/>
        </w:rPr>
      </w:pPr>
      <w:r>
        <w:rPr>
          <w:szCs w:val="24"/>
        </w:rPr>
        <w:t>In Docket No. 43695, a base rate proceeding for South</w:t>
      </w:r>
      <w:r w:rsidR="00046F8E">
        <w:rPr>
          <w:szCs w:val="24"/>
        </w:rPr>
        <w:t>western Public Service Company (“SPS</w:t>
      </w:r>
      <w:r>
        <w:rPr>
          <w:szCs w:val="24"/>
        </w:rPr>
        <w:t>”), the Commission noted that “[</w:t>
      </w:r>
      <w:proofErr w:type="spellStart"/>
      <w:r>
        <w:rPr>
          <w:szCs w:val="24"/>
        </w:rPr>
        <w:t>i</w:t>
      </w:r>
      <w:proofErr w:type="spellEnd"/>
      <w:r>
        <w:rPr>
          <w:szCs w:val="24"/>
        </w:rPr>
        <w:t>]t is well-established that a utility may not include in its rates the costs of incentives that are tied to financial-performance measures.”</w:t>
      </w:r>
      <w:r>
        <w:rPr>
          <w:rStyle w:val="FootnoteReference"/>
          <w:szCs w:val="24"/>
        </w:rPr>
        <w:footnoteReference w:id="10"/>
      </w:r>
      <w:r>
        <w:rPr>
          <w:szCs w:val="24"/>
        </w:rPr>
        <w:t xml:space="preserve">  </w:t>
      </w:r>
      <w:r w:rsidR="00FA2B2D">
        <w:rPr>
          <w:szCs w:val="24"/>
        </w:rPr>
        <w:t xml:space="preserve">In </w:t>
      </w:r>
      <w:r w:rsidR="000B7FB1">
        <w:rPr>
          <w:szCs w:val="24"/>
        </w:rPr>
        <w:t xml:space="preserve">Docket No. 43695, the Commission </w:t>
      </w:r>
      <w:r w:rsidR="00046F8E">
        <w:rPr>
          <w:szCs w:val="24"/>
        </w:rPr>
        <w:t xml:space="preserve">ultimately </w:t>
      </w:r>
      <w:r w:rsidR="000B7FB1">
        <w:rPr>
          <w:szCs w:val="24"/>
        </w:rPr>
        <w:t xml:space="preserve">decided to use the methodology that </w:t>
      </w:r>
      <w:r w:rsidR="00046F8E">
        <w:rPr>
          <w:szCs w:val="24"/>
        </w:rPr>
        <w:t xml:space="preserve">the </w:t>
      </w:r>
      <w:r w:rsidR="007C6280">
        <w:rPr>
          <w:szCs w:val="24"/>
        </w:rPr>
        <w:t>Office</w:t>
      </w:r>
      <w:r w:rsidR="00046F8E">
        <w:rPr>
          <w:szCs w:val="24"/>
        </w:rPr>
        <w:t xml:space="preserve"> of Public Utility Counsel (“</w:t>
      </w:r>
      <w:r w:rsidR="000B7FB1">
        <w:rPr>
          <w:szCs w:val="24"/>
        </w:rPr>
        <w:t>OPUC</w:t>
      </w:r>
      <w:r w:rsidR="00046F8E">
        <w:rPr>
          <w:szCs w:val="24"/>
        </w:rPr>
        <w:t xml:space="preserve">”) </w:t>
      </w:r>
      <w:r w:rsidR="007C6280">
        <w:rPr>
          <w:szCs w:val="24"/>
        </w:rPr>
        <w:t xml:space="preserve">recommended, noting that “OPUC’s expert calculated a partial reduction </w:t>
      </w:r>
      <w:r w:rsidR="002C0F6F" w:rsidRPr="00BC3C10">
        <w:rPr>
          <w:szCs w:val="24"/>
        </w:rPr>
        <w:t>[to other (non-financially based) incentive compensation]</w:t>
      </w:r>
      <w:r w:rsidR="002C0F6F">
        <w:rPr>
          <w:szCs w:val="24"/>
        </w:rPr>
        <w:t xml:space="preserve"> </w:t>
      </w:r>
      <w:r w:rsidR="007C6280">
        <w:rPr>
          <w:szCs w:val="24"/>
        </w:rPr>
        <w:t>to better reflect that the plan has a financi</w:t>
      </w:r>
      <w:r w:rsidR="002C0F6F">
        <w:rPr>
          <w:szCs w:val="24"/>
        </w:rPr>
        <w:t>ally-based trigger and incents e</w:t>
      </w:r>
      <w:r w:rsidR="007C6280">
        <w:rPr>
          <w:szCs w:val="24"/>
        </w:rPr>
        <w:t>ach employee to meet financially-based performance goals.”</w:t>
      </w:r>
      <w:r w:rsidR="007C6280">
        <w:rPr>
          <w:rStyle w:val="FootnoteReference"/>
          <w:szCs w:val="24"/>
        </w:rPr>
        <w:footnoteReference w:id="11"/>
      </w:r>
    </w:p>
    <w:p w:rsidR="0012158A" w:rsidRDefault="002C0F6F" w:rsidP="00487639">
      <w:pPr>
        <w:pStyle w:val="FOFNumbered"/>
        <w:numPr>
          <w:ilvl w:val="0"/>
          <w:numId w:val="0"/>
        </w:numPr>
        <w:spacing w:before="0" w:line="480" w:lineRule="auto"/>
        <w:ind w:left="720" w:firstLine="720"/>
      </w:pPr>
      <w:r>
        <w:rPr>
          <w:szCs w:val="24"/>
        </w:rPr>
        <w:t>In Docket No. 4644</w:t>
      </w:r>
      <w:r w:rsidR="0012158A">
        <w:rPr>
          <w:szCs w:val="24"/>
        </w:rPr>
        <w:t xml:space="preserve">9, a base rate case for </w:t>
      </w:r>
      <w:r w:rsidR="00BC3C10">
        <w:rPr>
          <w:szCs w:val="24"/>
        </w:rPr>
        <w:t>Southwestern Electric Power Company (“</w:t>
      </w:r>
      <w:r w:rsidR="0012158A">
        <w:rPr>
          <w:szCs w:val="24"/>
        </w:rPr>
        <w:t>SWEPCO</w:t>
      </w:r>
      <w:r w:rsidR="00BC3C10">
        <w:rPr>
          <w:szCs w:val="24"/>
        </w:rPr>
        <w:t>”)</w:t>
      </w:r>
      <w:r w:rsidR="0012158A">
        <w:t>, the Commission disallowed SWEPCO’s financially based incentive compensation, finding that:</w:t>
      </w:r>
    </w:p>
    <w:p w:rsidR="0012158A" w:rsidRDefault="0012158A" w:rsidP="00D47F6F">
      <w:pPr>
        <w:pStyle w:val="FOFNumbered"/>
        <w:numPr>
          <w:ilvl w:val="0"/>
          <w:numId w:val="0"/>
        </w:numPr>
        <w:spacing w:after="120" w:line="240" w:lineRule="auto"/>
        <w:ind w:left="1440" w:right="720"/>
        <w:rPr>
          <w:rFonts w:eastAsia="Calibri"/>
        </w:rPr>
      </w:pPr>
      <w:r>
        <w:rPr>
          <w:rFonts w:eastAsia="Calibri"/>
        </w:rPr>
        <w:t>The Commission has repeatedly ruled that a utility cannot recover the cost of financially-based incentive compensation because financial measures are of more immediate benefit to shareholders and financial measures are not necessary or reasonable to provide utility services</w:t>
      </w:r>
      <w:r w:rsidRPr="00CB2A2B">
        <w:rPr>
          <w:rFonts w:eastAsia="Calibri"/>
        </w:rPr>
        <w:t>.</w:t>
      </w:r>
      <w:r>
        <w:rPr>
          <w:rStyle w:val="FootnoteReference"/>
          <w:rFonts w:eastAsia="Calibri"/>
        </w:rPr>
        <w:footnoteReference w:id="12"/>
      </w:r>
    </w:p>
    <w:p w:rsidR="0012158A" w:rsidRPr="007A22A5" w:rsidRDefault="0012158A" w:rsidP="0012158A">
      <w:pPr>
        <w:pStyle w:val="FOFNumbered"/>
        <w:numPr>
          <w:ilvl w:val="0"/>
          <w:numId w:val="0"/>
        </w:numPr>
        <w:spacing w:line="240" w:lineRule="auto"/>
        <w:ind w:left="720" w:right="720" w:hanging="720"/>
        <w:rPr>
          <w:rFonts w:eastAsia="Calibri"/>
        </w:rPr>
      </w:pPr>
    </w:p>
    <w:p w:rsidR="0012158A" w:rsidRDefault="0012158A" w:rsidP="00487639">
      <w:pPr>
        <w:spacing w:after="0" w:line="480" w:lineRule="auto"/>
        <w:ind w:left="720"/>
        <w:jc w:val="both"/>
        <w:rPr>
          <w:szCs w:val="24"/>
        </w:rPr>
      </w:pPr>
      <w:r>
        <w:rPr>
          <w:szCs w:val="24"/>
        </w:rPr>
        <w:t xml:space="preserve">In Docket No. 46449, </w:t>
      </w:r>
      <w:r w:rsidR="007C6280">
        <w:rPr>
          <w:szCs w:val="24"/>
        </w:rPr>
        <w:t>the Commission upheld the</w:t>
      </w:r>
      <w:r>
        <w:rPr>
          <w:szCs w:val="24"/>
        </w:rPr>
        <w:t xml:space="preserve"> methodology </w:t>
      </w:r>
      <w:r w:rsidR="007C6280">
        <w:rPr>
          <w:szCs w:val="24"/>
        </w:rPr>
        <w:t xml:space="preserve">it previously approved </w:t>
      </w:r>
      <w:r>
        <w:rPr>
          <w:szCs w:val="24"/>
        </w:rPr>
        <w:t>in Docket No. 4</w:t>
      </w:r>
      <w:r w:rsidR="007C6280">
        <w:rPr>
          <w:szCs w:val="24"/>
        </w:rPr>
        <w:t>3695</w:t>
      </w:r>
      <w:r>
        <w:rPr>
          <w:szCs w:val="24"/>
        </w:rPr>
        <w:t>.</w:t>
      </w:r>
    </w:p>
    <w:p w:rsidR="00487639" w:rsidRDefault="000B7FB1" w:rsidP="00A67425">
      <w:pPr>
        <w:spacing w:after="0" w:line="480" w:lineRule="auto"/>
        <w:ind w:left="720" w:hanging="720"/>
        <w:jc w:val="both"/>
        <w:rPr>
          <w:szCs w:val="24"/>
        </w:rPr>
      </w:pPr>
      <w:r>
        <w:rPr>
          <w:szCs w:val="24"/>
        </w:rPr>
        <w:tab/>
      </w:r>
      <w:r>
        <w:rPr>
          <w:szCs w:val="24"/>
        </w:rPr>
        <w:tab/>
      </w:r>
      <w:r w:rsidR="0012158A">
        <w:rPr>
          <w:szCs w:val="24"/>
        </w:rPr>
        <w:t xml:space="preserve">I recommend using (functionally) the same methodology that the Commission upheld in Docket Nos. 43695 and 46449.  </w:t>
      </w:r>
      <w:r>
        <w:rPr>
          <w:szCs w:val="24"/>
        </w:rPr>
        <w:t>At the end of the day, this methodology removes all financially-based incentive compensation and a percentage of the</w:t>
      </w:r>
      <w:r w:rsidR="00D2629E">
        <w:rPr>
          <w:szCs w:val="24"/>
        </w:rPr>
        <w:t xml:space="preserve"> remaining compensation whose payment is based on a trigger that is, in part, financially based.</w:t>
      </w:r>
    </w:p>
    <w:p w:rsidR="00A67425" w:rsidRDefault="00A67425" w:rsidP="00A67425">
      <w:pPr>
        <w:spacing w:after="0" w:line="480" w:lineRule="auto"/>
        <w:ind w:left="720" w:hanging="720"/>
        <w:jc w:val="both"/>
        <w:rPr>
          <w:szCs w:val="24"/>
        </w:rPr>
      </w:pPr>
    </w:p>
    <w:p w:rsidR="00A67425" w:rsidRDefault="00A67425" w:rsidP="00A67425">
      <w:pPr>
        <w:spacing w:after="0" w:line="480" w:lineRule="auto"/>
        <w:ind w:left="720" w:hanging="720"/>
        <w:jc w:val="both"/>
        <w:rPr>
          <w:szCs w:val="24"/>
        </w:rPr>
      </w:pPr>
    </w:p>
    <w:p w:rsidR="00A67425" w:rsidRDefault="00A67425" w:rsidP="00A67425">
      <w:pPr>
        <w:spacing w:after="0" w:line="480" w:lineRule="auto"/>
        <w:ind w:left="720" w:hanging="720"/>
        <w:jc w:val="both"/>
        <w:rPr>
          <w:szCs w:val="24"/>
        </w:rPr>
      </w:pPr>
    </w:p>
    <w:p w:rsidR="00206300" w:rsidRDefault="00206300" w:rsidP="00487639">
      <w:pPr>
        <w:spacing w:after="0" w:line="480" w:lineRule="auto"/>
        <w:ind w:left="720" w:hanging="720"/>
        <w:jc w:val="both"/>
        <w:rPr>
          <w:b/>
          <w:szCs w:val="24"/>
        </w:rPr>
      </w:pPr>
      <w:r>
        <w:rPr>
          <w:b/>
          <w:szCs w:val="24"/>
        </w:rPr>
        <w:t>Q.</w:t>
      </w:r>
      <w:r>
        <w:rPr>
          <w:b/>
          <w:szCs w:val="24"/>
        </w:rPr>
        <w:tab/>
        <w:t>Please quantify your recommendation regarding incentive compensation.</w:t>
      </w:r>
    </w:p>
    <w:p w:rsidR="002C0F6F" w:rsidRDefault="00206300" w:rsidP="002C0F6F">
      <w:pPr>
        <w:spacing w:line="480" w:lineRule="auto"/>
        <w:ind w:left="720" w:hanging="720"/>
        <w:jc w:val="both"/>
        <w:rPr>
          <w:szCs w:val="24"/>
        </w:rPr>
      </w:pPr>
      <w:r>
        <w:rPr>
          <w:szCs w:val="24"/>
        </w:rPr>
        <w:t>A.</w:t>
      </w:r>
      <w:r>
        <w:rPr>
          <w:szCs w:val="24"/>
        </w:rPr>
        <w:tab/>
        <w:t xml:space="preserve">I recommend removing all of CenterPoint’s financially based incentive compensation from rates, </w:t>
      </w:r>
      <w:r w:rsidR="005F42CE">
        <w:rPr>
          <w:szCs w:val="24"/>
        </w:rPr>
        <w:t xml:space="preserve">for </w:t>
      </w:r>
      <w:r w:rsidR="00FF51D7">
        <w:rPr>
          <w:szCs w:val="24"/>
        </w:rPr>
        <w:t xml:space="preserve">a </w:t>
      </w:r>
      <w:r w:rsidR="005F42CE">
        <w:rPr>
          <w:szCs w:val="24"/>
        </w:rPr>
        <w:t>total of $</w:t>
      </w:r>
      <w:r w:rsidR="00AA76C1">
        <w:rPr>
          <w:szCs w:val="24"/>
        </w:rPr>
        <w:t>33,470,000 (rounded)</w:t>
      </w:r>
      <w:r w:rsidR="005F42CE">
        <w:rPr>
          <w:szCs w:val="24"/>
        </w:rPr>
        <w:t xml:space="preserve">, </w:t>
      </w:r>
      <w:r>
        <w:rPr>
          <w:szCs w:val="24"/>
        </w:rPr>
        <w:t xml:space="preserve">as shown </w:t>
      </w:r>
      <w:r w:rsidR="005F42CE">
        <w:rPr>
          <w:szCs w:val="24"/>
        </w:rPr>
        <w:t xml:space="preserve">broken out by plan type and by entity </w:t>
      </w:r>
      <w:r w:rsidR="003A73D2">
        <w:rPr>
          <w:szCs w:val="24"/>
        </w:rPr>
        <w:t>in the following table:</w:t>
      </w:r>
    </w:p>
    <w:tbl>
      <w:tblPr>
        <w:tblStyle w:val="TableGrid"/>
        <w:tblW w:w="0" w:type="auto"/>
        <w:tblInd w:w="720" w:type="dxa"/>
        <w:tblLook w:val="04A0" w:firstRow="1" w:lastRow="0" w:firstColumn="1" w:lastColumn="0" w:noHBand="0" w:noVBand="1"/>
      </w:tblPr>
      <w:tblGrid>
        <w:gridCol w:w="4448"/>
        <w:gridCol w:w="4318"/>
      </w:tblGrid>
      <w:tr w:rsidR="002C0F6F" w:rsidTr="00EA74F6">
        <w:tc>
          <w:tcPr>
            <w:tcW w:w="8766" w:type="dxa"/>
            <w:gridSpan w:val="2"/>
          </w:tcPr>
          <w:p w:rsidR="002C0F6F" w:rsidRPr="002C0F6F" w:rsidRDefault="002C0F6F" w:rsidP="00FF51D7">
            <w:pPr>
              <w:spacing w:line="360" w:lineRule="auto"/>
              <w:jc w:val="both"/>
              <w:rPr>
                <w:b/>
                <w:szCs w:val="24"/>
              </w:rPr>
            </w:pPr>
            <w:r w:rsidRPr="002C0F6F">
              <w:rPr>
                <w:b/>
                <w:szCs w:val="24"/>
              </w:rPr>
              <w:t>Table MF-1</w:t>
            </w:r>
          </w:p>
        </w:tc>
      </w:tr>
      <w:tr w:rsidR="003A73D2" w:rsidTr="00EA74F6">
        <w:tc>
          <w:tcPr>
            <w:tcW w:w="8766" w:type="dxa"/>
            <w:gridSpan w:val="2"/>
          </w:tcPr>
          <w:p w:rsidR="003A73D2" w:rsidRDefault="003A73D2" w:rsidP="00FF51D7">
            <w:pPr>
              <w:spacing w:line="360" w:lineRule="auto"/>
              <w:jc w:val="both"/>
              <w:rPr>
                <w:szCs w:val="24"/>
              </w:rPr>
            </w:pPr>
            <w:r>
              <w:rPr>
                <w:szCs w:val="24"/>
              </w:rPr>
              <w:t>Financially Based Incentive Compensation</w:t>
            </w:r>
            <w:r w:rsidR="00AA76C1">
              <w:rPr>
                <w:szCs w:val="24"/>
              </w:rPr>
              <w:t xml:space="preserve"> (rounded)</w:t>
            </w:r>
          </w:p>
        </w:tc>
      </w:tr>
      <w:tr w:rsidR="003A73D2" w:rsidTr="003A73D2">
        <w:tc>
          <w:tcPr>
            <w:tcW w:w="4448" w:type="dxa"/>
          </w:tcPr>
          <w:p w:rsidR="003A73D2" w:rsidRDefault="003A73D2" w:rsidP="00FF51D7">
            <w:pPr>
              <w:spacing w:line="360" w:lineRule="auto"/>
              <w:jc w:val="both"/>
              <w:rPr>
                <w:szCs w:val="24"/>
              </w:rPr>
            </w:pPr>
            <w:r>
              <w:rPr>
                <w:szCs w:val="24"/>
              </w:rPr>
              <w:t>By Plan Type:</w:t>
            </w:r>
          </w:p>
        </w:tc>
        <w:tc>
          <w:tcPr>
            <w:tcW w:w="4318" w:type="dxa"/>
          </w:tcPr>
          <w:p w:rsidR="003A73D2" w:rsidRDefault="003A73D2" w:rsidP="00FF51D7">
            <w:pPr>
              <w:spacing w:line="360" w:lineRule="auto"/>
              <w:jc w:val="both"/>
              <w:rPr>
                <w:szCs w:val="24"/>
              </w:rPr>
            </w:pPr>
          </w:p>
        </w:tc>
      </w:tr>
      <w:tr w:rsidR="003A73D2" w:rsidTr="003A73D2">
        <w:tc>
          <w:tcPr>
            <w:tcW w:w="4448" w:type="dxa"/>
          </w:tcPr>
          <w:p w:rsidR="003A73D2" w:rsidRDefault="00FF51D7" w:rsidP="00FF51D7">
            <w:pPr>
              <w:spacing w:line="360" w:lineRule="auto"/>
              <w:jc w:val="both"/>
              <w:rPr>
                <w:szCs w:val="24"/>
              </w:rPr>
            </w:pPr>
            <w:r>
              <w:rPr>
                <w:szCs w:val="24"/>
              </w:rPr>
              <w:t>Short-t</w:t>
            </w:r>
            <w:r w:rsidR="003A73D2">
              <w:rPr>
                <w:szCs w:val="24"/>
              </w:rPr>
              <w:t>erm Incentive Compensation</w:t>
            </w:r>
          </w:p>
        </w:tc>
        <w:tc>
          <w:tcPr>
            <w:tcW w:w="4318" w:type="dxa"/>
          </w:tcPr>
          <w:p w:rsidR="003A73D2" w:rsidRDefault="003A73D2" w:rsidP="00FF51D7">
            <w:pPr>
              <w:spacing w:line="360" w:lineRule="auto"/>
              <w:jc w:val="both"/>
              <w:rPr>
                <w:szCs w:val="24"/>
              </w:rPr>
            </w:pPr>
            <w:r>
              <w:rPr>
                <w:szCs w:val="24"/>
              </w:rPr>
              <w:t>$</w:t>
            </w:r>
            <w:r w:rsidR="00AA76C1">
              <w:rPr>
                <w:szCs w:val="24"/>
              </w:rPr>
              <w:t>22,220,000</w:t>
            </w:r>
          </w:p>
        </w:tc>
      </w:tr>
      <w:tr w:rsidR="003A73D2" w:rsidTr="003A73D2">
        <w:tc>
          <w:tcPr>
            <w:tcW w:w="4448" w:type="dxa"/>
          </w:tcPr>
          <w:p w:rsidR="003A73D2" w:rsidRDefault="00FF51D7" w:rsidP="00FF51D7">
            <w:pPr>
              <w:spacing w:line="360" w:lineRule="auto"/>
              <w:jc w:val="both"/>
              <w:rPr>
                <w:szCs w:val="24"/>
              </w:rPr>
            </w:pPr>
            <w:r>
              <w:rPr>
                <w:szCs w:val="24"/>
              </w:rPr>
              <w:t>Long-t</w:t>
            </w:r>
            <w:r w:rsidR="003A73D2">
              <w:rPr>
                <w:szCs w:val="24"/>
              </w:rPr>
              <w:t>erm Incentive Compensation</w:t>
            </w:r>
          </w:p>
        </w:tc>
        <w:tc>
          <w:tcPr>
            <w:tcW w:w="4318" w:type="dxa"/>
          </w:tcPr>
          <w:p w:rsidR="003A73D2" w:rsidRDefault="003A73D2" w:rsidP="00FF51D7">
            <w:pPr>
              <w:spacing w:line="360" w:lineRule="auto"/>
              <w:jc w:val="both"/>
              <w:rPr>
                <w:szCs w:val="24"/>
              </w:rPr>
            </w:pPr>
            <w:r>
              <w:rPr>
                <w:szCs w:val="24"/>
              </w:rPr>
              <w:t>$</w:t>
            </w:r>
            <w:r w:rsidR="00AA76C1">
              <w:rPr>
                <w:szCs w:val="24"/>
              </w:rPr>
              <w:t>11,250,000</w:t>
            </w:r>
          </w:p>
        </w:tc>
      </w:tr>
      <w:tr w:rsidR="003A73D2" w:rsidTr="003A73D2">
        <w:tc>
          <w:tcPr>
            <w:tcW w:w="4448" w:type="dxa"/>
          </w:tcPr>
          <w:p w:rsidR="003A73D2" w:rsidRDefault="003A73D2" w:rsidP="00FF51D7">
            <w:pPr>
              <w:spacing w:line="360" w:lineRule="auto"/>
              <w:jc w:val="both"/>
              <w:rPr>
                <w:szCs w:val="24"/>
              </w:rPr>
            </w:pPr>
            <w:r>
              <w:rPr>
                <w:szCs w:val="24"/>
              </w:rPr>
              <w:t>By Entity:</w:t>
            </w:r>
          </w:p>
        </w:tc>
        <w:tc>
          <w:tcPr>
            <w:tcW w:w="4318" w:type="dxa"/>
          </w:tcPr>
          <w:p w:rsidR="003A73D2" w:rsidRDefault="003A73D2" w:rsidP="00FF51D7">
            <w:pPr>
              <w:spacing w:line="360" w:lineRule="auto"/>
              <w:jc w:val="both"/>
              <w:rPr>
                <w:szCs w:val="24"/>
              </w:rPr>
            </w:pPr>
          </w:p>
        </w:tc>
      </w:tr>
      <w:tr w:rsidR="003A73D2" w:rsidTr="003A73D2">
        <w:tc>
          <w:tcPr>
            <w:tcW w:w="4448" w:type="dxa"/>
          </w:tcPr>
          <w:p w:rsidR="003A73D2" w:rsidRDefault="003A73D2" w:rsidP="00FF51D7">
            <w:pPr>
              <w:spacing w:line="360" w:lineRule="auto"/>
              <w:jc w:val="both"/>
              <w:rPr>
                <w:szCs w:val="24"/>
              </w:rPr>
            </w:pPr>
            <w:r>
              <w:rPr>
                <w:szCs w:val="24"/>
              </w:rPr>
              <w:t>Company Direct</w:t>
            </w:r>
          </w:p>
        </w:tc>
        <w:tc>
          <w:tcPr>
            <w:tcW w:w="4318" w:type="dxa"/>
          </w:tcPr>
          <w:p w:rsidR="003A73D2" w:rsidRDefault="003A73D2" w:rsidP="00FF51D7">
            <w:pPr>
              <w:spacing w:line="360" w:lineRule="auto"/>
              <w:jc w:val="both"/>
              <w:rPr>
                <w:szCs w:val="24"/>
              </w:rPr>
            </w:pPr>
            <w:r>
              <w:rPr>
                <w:szCs w:val="24"/>
              </w:rPr>
              <w:t>$</w:t>
            </w:r>
            <w:r w:rsidR="00AA76C1">
              <w:rPr>
                <w:szCs w:val="24"/>
              </w:rPr>
              <w:t>16,100,000</w:t>
            </w:r>
          </w:p>
        </w:tc>
      </w:tr>
      <w:tr w:rsidR="003A73D2" w:rsidTr="003A73D2">
        <w:tc>
          <w:tcPr>
            <w:tcW w:w="4448" w:type="dxa"/>
          </w:tcPr>
          <w:p w:rsidR="003A73D2" w:rsidRDefault="003A73D2" w:rsidP="00FF51D7">
            <w:pPr>
              <w:spacing w:line="360" w:lineRule="auto"/>
              <w:jc w:val="both"/>
              <w:rPr>
                <w:szCs w:val="24"/>
              </w:rPr>
            </w:pPr>
            <w:r>
              <w:rPr>
                <w:szCs w:val="24"/>
              </w:rPr>
              <w:t>Affiliates</w:t>
            </w:r>
          </w:p>
        </w:tc>
        <w:tc>
          <w:tcPr>
            <w:tcW w:w="4318" w:type="dxa"/>
          </w:tcPr>
          <w:p w:rsidR="003A73D2" w:rsidRDefault="003A73D2" w:rsidP="00FF51D7">
            <w:pPr>
              <w:spacing w:line="360" w:lineRule="auto"/>
              <w:jc w:val="both"/>
              <w:rPr>
                <w:szCs w:val="24"/>
              </w:rPr>
            </w:pPr>
            <w:r w:rsidRPr="00BC3C10">
              <w:rPr>
                <w:szCs w:val="24"/>
              </w:rPr>
              <w:t>$</w:t>
            </w:r>
            <w:r w:rsidR="00922C06" w:rsidRPr="00BC3C10">
              <w:rPr>
                <w:szCs w:val="24"/>
              </w:rPr>
              <w:t>17,369</w:t>
            </w:r>
            <w:r w:rsidR="00AA76C1" w:rsidRPr="00BC3C10">
              <w:rPr>
                <w:szCs w:val="24"/>
              </w:rPr>
              <w:t>,000</w:t>
            </w:r>
          </w:p>
        </w:tc>
      </w:tr>
    </w:tbl>
    <w:p w:rsidR="00FF51D7" w:rsidRDefault="00FF51D7" w:rsidP="00BC3C10">
      <w:pPr>
        <w:spacing w:before="120" w:line="480" w:lineRule="auto"/>
        <w:ind w:left="720" w:firstLine="720"/>
        <w:jc w:val="both"/>
        <w:rPr>
          <w:szCs w:val="24"/>
        </w:rPr>
      </w:pPr>
      <w:r>
        <w:rPr>
          <w:szCs w:val="24"/>
        </w:rPr>
        <w:t>I further recommend removing half of CenterPoint’s other (i.e. non-financially based) incentive compensation from rates, for a total removal of $</w:t>
      </w:r>
      <w:r w:rsidR="00AA76C1">
        <w:rPr>
          <w:szCs w:val="24"/>
        </w:rPr>
        <w:t>2,327,000</w:t>
      </w:r>
      <w:r>
        <w:rPr>
          <w:szCs w:val="24"/>
        </w:rPr>
        <w:t xml:space="preserve"> (half of the</w:t>
      </w:r>
      <w:r w:rsidR="00AA76C1">
        <w:rPr>
          <w:szCs w:val="24"/>
        </w:rPr>
        <w:t xml:space="preserve"> expense for non-financially based incentive compensation </w:t>
      </w:r>
      <w:r>
        <w:rPr>
          <w:szCs w:val="24"/>
        </w:rPr>
        <w:t>included in CenterPoint’s request</w:t>
      </w:r>
      <w:r w:rsidR="00AA76C1">
        <w:rPr>
          <w:szCs w:val="24"/>
        </w:rPr>
        <w:t>)</w:t>
      </w:r>
      <w:r>
        <w:rPr>
          <w:szCs w:val="24"/>
        </w:rPr>
        <w:t>, as shown broken out by plan type and by entity in the following table:</w:t>
      </w:r>
    </w:p>
    <w:tbl>
      <w:tblPr>
        <w:tblStyle w:val="TableGrid"/>
        <w:tblW w:w="0" w:type="auto"/>
        <w:tblInd w:w="720" w:type="dxa"/>
        <w:tblLook w:val="04A0" w:firstRow="1" w:lastRow="0" w:firstColumn="1" w:lastColumn="0" w:noHBand="0" w:noVBand="1"/>
      </w:tblPr>
      <w:tblGrid>
        <w:gridCol w:w="4448"/>
        <w:gridCol w:w="4318"/>
      </w:tblGrid>
      <w:tr w:rsidR="00922C06" w:rsidTr="00EA74F6">
        <w:tc>
          <w:tcPr>
            <w:tcW w:w="8766" w:type="dxa"/>
            <w:gridSpan w:val="2"/>
          </w:tcPr>
          <w:p w:rsidR="00922C06" w:rsidRPr="00922C06" w:rsidRDefault="00922C06" w:rsidP="00EA74F6">
            <w:pPr>
              <w:spacing w:line="360" w:lineRule="auto"/>
              <w:jc w:val="both"/>
              <w:rPr>
                <w:b/>
                <w:szCs w:val="24"/>
              </w:rPr>
            </w:pPr>
            <w:r>
              <w:rPr>
                <w:b/>
                <w:szCs w:val="24"/>
              </w:rPr>
              <w:t>Table MF-2</w:t>
            </w:r>
          </w:p>
        </w:tc>
      </w:tr>
      <w:tr w:rsidR="00FF51D7" w:rsidTr="00EA74F6">
        <w:tc>
          <w:tcPr>
            <w:tcW w:w="8766" w:type="dxa"/>
            <w:gridSpan w:val="2"/>
          </w:tcPr>
          <w:p w:rsidR="00FF51D7" w:rsidRDefault="00FF51D7" w:rsidP="00EA74F6">
            <w:pPr>
              <w:spacing w:line="360" w:lineRule="auto"/>
              <w:jc w:val="both"/>
              <w:rPr>
                <w:szCs w:val="24"/>
              </w:rPr>
            </w:pPr>
            <w:r>
              <w:rPr>
                <w:szCs w:val="24"/>
              </w:rPr>
              <w:t>Other (Non-financially Based) Incentive Compensation</w:t>
            </w:r>
            <w:r w:rsidR="00AA76C1">
              <w:rPr>
                <w:szCs w:val="24"/>
              </w:rPr>
              <w:t xml:space="preserve"> (rounded)</w:t>
            </w:r>
          </w:p>
        </w:tc>
      </w:tr>
      <w:tr w:rsidR="00FF51D7" w:rsidTr="00EA74F6">
        <w:tc>
          <w:tcPr>
            <w:tcW w:w="4448" w:type="dxa"/>
          </w:tcPr>
          <w:p w:rsidR="00FF51D7" w:rsidRDefault="00FF51D7" w:rsidP="00EA74F6">
            <w:pPr>
              <w:spacing w:line="360" w:lineRule="auto"/>
              <w:jc w:val="both"/>
              <w:rPr>
                <w:szCs w:val="24"/>
              </w:rPr>
            </w:pPr>
            <w:r>
              <w:rPr>
                <w:szCs w:val="24"/>
              </w:rPr>
              <w:t>By Plan Type:</w:t>
            </w:r>
          </w:p>
        </w:tc>
        <w:tc>
          <w:tcPr>
            <w:tcW w:w="4318" w:type="dxa"/>
          </w:tcPr>
          <w:p w:rsidR="00FF51D7" w:rsidRDefault="00FF51D7" w:rsidP="00EA74F6">
            <w:pPr>
              <w:spacing w:line="360" w:lineRule="auto"/>
              <w:jc w:val="both"/>
              <w:rPr>
                <w:szCs w:val="24"/>
              </w:rPr>
            </w:pPr>
          </w:p>
        </w:tc>
      </w:tr>
      <w:tr w:rsidR="00FF51D7" w:rsidTr="00EA74F6">
        <w:tc>
          <w:tcPr>
            <w:tcW w:w="4448" w:type="dxa"/>
          </w:tcPr>
          <w:p w:rsidR="00FF51D7" w:rsidRDefault="00FF51D7" w:rsidP="00EA74F6">
            <w:pPr>
              <w:spacing w:line="360" w:lineRule="auto"/>
              <w:jc w:val="both"/>
              <w:rPr>
                <w:szCs w:val="24"/>
              </w:rPr>
            </w:pPr>
            <w:r>
              <w:rPr>
                <w:szCs w:val="24"/>
              </w:rPr>
              <w:t>Short-term Incentive Compensation</w:t>
            </w:r>
          </w:p>
        </w:tc>
        <w:tc>
          <w:tcPr>
            <w:tcW w:w="4318" w:type="dxa"/>
          </w:tcPr>
          <w:p w:rsidR="00FF51D7" w:rsidRDefault="00FF51D7" w:rsidP="00EA74F6">
            <w:pPr>
              <w:spacing w:line="360" w:lineRule="auto"/>
              <w:jc w:val="both"/>
              <w:rPr>
                <w:szCs w:val="24"/>
              </w:rPr>
            </w:pPr>
            <w:r>
              <w:rPr>
                <w:szCs w:val="24"/>
              </w:rPr>
              <w:t>$</w:t>
            </w:r>
            <w:r w:rsidR="00AA76C1">
              <w:rPr>
                <w:szCs w:val="24"/>
              </w:rPr>
              <w:t>2,327,000</w:t>
            </w:r>
          </w:p>
        </w:tc>
      </w:tr>
      <w:tr w:rsidR="00FF51D7" w:rsidTr="00EA74F6">
        <w:tc>
          <w:tcPr>
            <w:tcW w:w="4448" w:type="dxa"/>
          </w:tcPr>
          <w:p w:rsidR="00FF51D7" w:rsidRDefault="00FF51D7" w:rsidP="00EA74F6">
            <w:pPr>
              <w:spacing w:line="360" w:lineRule="auto"/>
              <w:jc w:val="both"/>
              <w:rPr>
                <w:szCs w:val="24"/>
              </w:rPr>
            </w:pPr>
            <w:r>
              <w:rPr>
                <w:szCs w:val="24"/>
              </w:rPr>
              <w:t>Long-term Incentive Compensation</w:t>
            </w:r>
          </w:p>
        </w:tc>
        <w:tc>
          <w:tcPr>
            <w:tcW w:w="4318" w:type="dxa"/>
          </w:tcPr>
          <w:p w:rsidR="00FF51D7" w:rsidRDefault="00FF51D7" w:rsidP="00EA74F6">
            <w:pPr>
              <w:spacing w:line="360" w:lineRule="auto"/>
              <w:jc w:val="both"/>
              <w:rPr>
                <w:szCs w:val="24"/>
              </w:rPr>
            </w:pPr>
            <w:r>
              <w:rPr>
                <w:szCs w:val="24"/>
              </w:rPr>
              <w:t>$</w:t>
            </w:r>
            <w:r w:rsidR="00AA76C1">
              <w:rPr>
                <w:szCs w:val="24"/>
              </w:rPr>
              <w:t>0</w:t>
            </w:r>
          </w:p>
        </w:tc>
      </w:tr>
      <w:tr w:rsidR="00FF51D7" w:rsidTr="00EA74F6">
        <w:tc>
          <w:tcPr>
            <w:tcW w:w="4448" w:type="dxa"/>
          </w:tcPr>
          <w:p w:rsidR="00FF51D7" w:rsidRDefault="00FF51D7" w:rsidP="00EA74F6">
            <w:pPr>
              <w:spacing w:line="360" w:lineRule="auto"/>
              <w:jc w:val="both"/>
              <w:rPr>
                <w:szCs w:val="24"/>
              </w:rPr>
            </w:pPr>
            <w:r>
              <w:rPr>
                <w:szCs w:val="24"/>
              </w:rPr>
              <w:t>By Entity:</w:t>
            </w:r>
          </w:p>
        </w:tc>
        <w:tc>
          <w:tcPr>
            <w:tcW w:w="4318" w:type="dxa"/>
          </w:tcPr>
          <w:p w:rsidR="00FF51D7" w:rsidRDefault="00FF51D7" w:rsidP="00EA74F6">
            <w:pPr>
              <w:spacing w:line="360" w:lineRule="auto"/>
              <w:jc w:val="both"/>
              <w:rPr>
                <w:szCs w:val="24"/>
              </w:rPr>
            </w:pPr>
          </w:p>
        </w:tc>
      </w:tr>
      <w:tr w:rsidR="00FF51D7" w:rsidTr="00EA74F6">
        <w:tc>
          <w:tcPr>
            <w:tcW w:w="4448" w:type="dxa"/>
          </w:tcPr>
          <w:p w:rsidR="00FF51D7" w:rsidRDefault="00FF51D7" w:rsidP="00EA74F6">
            <w:pPr>
              <w:spacing w:line="360" w:lineRule="auto"/>
              <w:jc w:val="both"/>
              <w:rPr>
                <w:szCs w:val="24"/>
              </w:rPr>
            </w:pPr>
            <w:r>
              <w:rPr>
                <w:szCs w:val="24"/>
              </w:rPr>
              <w:t>Company Direct</w:t>
            </w:r>
          </w:p>
        </w:tc>
        <w:tc>
          <w:tcPr>
            <w:tcW w:w="4318" w:type="dxa"/>
          </w:tcPr>
          <w:p w:rsidR="00FF51D7" w:rsidRDefault="00FF51D7" w:rsidP="00EA74F6">
            <w:pPr>
              <w:spacing w:line="360" w:lineRule="auto"/>
              <w:jc w:val="both"/>
              <w:rPr>
                <w:szCs w:val="24"/>
              </w:rPr>
            </w:pPr>
            <w:r>
              <w:rPr>
                <w:szCs w:val="24"/>
              </w:rPr>
              <w:t>$</w:t>
            </w:r>
            <w:r w:rsidR="00AA76C1">
              <w:rPr>
                <w:szCs w:val="24"/>
              </w:rPr>
              <w:t>0</w:t>
            </w:r>
          </w:p>
        </w:tc>
      </w:tr>
      <w:tr w:rsidR="00FF51D7" w:rsidTr="00EA74F6">
        <w:tc>
          <w:tcPr>
            <w:tcW w:w="4448" w:type="dxa"/>
          </w:tcPr>
          <w:p w:rsidR="00FF51D7" w:rsidRDefault="00FF51D7" w:rsidP="00EA74F6">
            <w:pPr>
              <w:spacing w:line="360" w:lineRule="auto"/>
              <w:jc w:val="both"/>
              <w:rPr>
                <w:szCs w:val="24"/>
              </w:rPr>
            </w:pPr>
            <w:r>
              <w:rPr>
                <w:szCs w:val="24"/>
              </w:rPr>
              <w:t>Affiliates</w:t>
            </w:r>
          </w:p>
        </w:tc>
        <w:tc>
          <w:tcPr>
            <w:tcW w:w="4318" w:type="dxa"/>
          </w:tcPr>
          <w:p w:rsidR="00FF51D7" w:rsidRDefault="00FF51D7" w:rsidP="00EA74F6">
            <w:pPr>
              <w:spacing w:line="360" w:lineRule="auto"/>
              <w:jc w:val="both"/>
              <w:rPr>
                <w:szCs w:val="24"/>
              </w:rPr>
            </w:pPr>
            <w:r>
              <w:rPr>
                <w:szCs w:val="24"/>
              </w:rPr>
              <w:t>$</w:t>
            </w:r>
            <w:r w:rsidR="00AA76C1">
              <w:rPr>
                <w:szCs w:val="24"/>
              </w:rPr>
              <w:t>2,327,000</w:t>
            </w:r>
          </w:p>
        </w:tc>
      </w:tr>
    </w:tbl>
    <w:p w:rsidR="00EA74F6" w:rsidRDefault="003A73D2" w:rsidP="00BC3C10">
      <w:pPr>
        <w:spacing w:before="120" w:after="0" w:line="480" w:lineRule="auto"/>
        <w:ind w:left="720" w:hanging="720"/>
        <w:jc w:val="both"/>
        <w:rPr>
          <w:szCs w:val="24"/>
        </w:rPr>
      </w:pPr>
      <w:r>
        <w:rPr>
          <w:szCs w:val="24"/>
        </w:rPr>
        <w:tab/>
      </w:r>
      <w:r>
        <w:rPr>
          <w:szCs w:val="24"/>
        </w:rPr>
        <w:tab/>
        <w:t xml:space="preserve">In removing the amounts for financially based incentive compensation and other </w:t>
      </w:r>
      <w:r w:rsidR="00AA76C1">
        <w:rPr>
          <w:szCs w:val="24"/>
        </w:rPr>
        <w:t xml:space="preserve">(non-financially based) </w:t>
      </w:r>
      <w:r>
        <w:rPr>
          <w:szCs w:val="24"/>
        </w:rPr>
        <w:t>incentive compensation, I used the amounts for individual FERC account</w:t>
      </w:r>
      <w:r w:rsidR="00B5339A">
        <w:rPr>
          <w:szCs w:val="24"/>
        </w:rPr>
        <w:t>s a</w:t>
      </w:r>
      <w:r>
        <w:rPr>
          <w:szCs w:val="24"/>
        </w:rPr>
        <w:t>s presented by CenterPoint in its response to RFI No. Staff 3-01</w:t>
      </w:r>
      <w:r w:rsidR="005F2AFA">
        <w:rPr>
          <w:szCs w:val="24"/>
        </w:rPr>
        <w:t xml:space="preserve"> and the other locations identified in that RFI response</w:t>
      </w:r>
      <w:r>
        <w:rPr>
          <w:szCs w:val="24"/>
        </w:rPr>
        <w:t>.</w:t>
      </w:r>
      <w:r w:rsidR="007D72CC">
        <w:rPr>
          <w:rStyle w:val="FootnoteReference"/>
          <w:szCs w:val="24"/>
        </w:rPr>
        <w:footnoteReference w:id="13"/>
      </w:r>
    </w:p>
    <w:p w:rsidR="00EA74F6" w:rsidRDefault="00EA74F6" w:rsidP="00A67425">
      <w:pPr>
        <w:spacing w:after="0" w:line="480" w:lineRule="auto"/>
        <w:ind w:left="720" w:hanging="720"/>
        <w:jc w:val="both"/>
        <w:rPr>
          <w:b/>
          <w:szCs w:val="24"/>
        </w:rPr>
      </w:pPr>
      <w:r>
        <w:rPr>
          <w:b/>
          <w:szCs w:val="24"/>
        </w:rPr>
        <w:t>Q.</w:t>
      </w:r>
      <w:r>
        <w:rPr>
          <w:b/>
          <w:szCs w:val="24"/>
        </w:rPr>
        <w:tab/>
        <w:t>Please explain your calculation for sh</w:t>
      </w:r>
      <w:r w:rsidR="00922C06">
        <w:rPr>
          <w:b/>
          <w:szCs w:val="24"/>
        </w:rPr>
        <w:t>ort-term incentive compensation</w:t>
      </w:r>
      <w:r>
        <w:rPr>
          <w:b/>
          <w:szCs w:val="24"/>
        </w:rPr>
        <w:t>.</w:t>
      </w:r>
    </w:p>
    <w:p w:rsidR="00EA74F6" w:rsidRDefault="00EA74F6" w:rsidP="00EA74F6">
      <w:pPr>
        <w:spacing w:line="480" w:lineRule="auto"/>
        <w:ind w:left="720" w:hanging="720"/>
        <w:jc w:val="both"/>
        <w:rPr>
          <w:szCs w:val="24"/>
        </w:rPr>
      </w:pPr>
      <w:r>
        <w:rPr>
          <w:szCs w:val="24"/>
        </w:rPr>
        <w:t>A.</w:t>
      </w:r>
      <w:r>
        <w:rPr>
          <w:szCs w:val="24"/>
        </w:rPr>
        <w:tab/>
        <w:t>Unlike CenterPoint’s long-term incentive compensation that is all financially based, CenterPoint’s short term incentive compensation is partially financially based and partially not.  Some of the payments for short-term incentive compensation are based on the achievement of financial metrics, while some are based on operational metrics.</w:t>
      </w:r>
    </w:p>
    <w:p w:rsidR="00EA74F6" w:rsidRDefault="00EA74F6" w:rsidP="00A67425">
      <w:pPr>
        <w:spacing w:after="0" w:line="480" w:lineRule="auto"/>
        <w:ind w:left="720" w:hanging="720"/>
        <w:jc w:val="both"/>
        <w:rPr>
          <w:szCs w:val="24"/>
        </w:rPr>
      </w:pPr>
      <w:r>
        <w:rPr>
          <w:szCs w:val="24"/>
        </w:rPr>
        <w:tab/>
      </w:r>
      <w:r>
        <w:rPr>
          <w:szCs w:val="24"/>
        </w:rPr>
        <w:tab/>
        <w:t xml:space="preserve">In removing the entire amount related to financially </w:t>
      </w:r>
      <w:proofErr w:type="gramStart"/>
      <w:r>
        <w:rPr>
          <w:szCs w:val="24"/>
        </w:rPr>
        <w:t>based</w:t>
      </w:r>
      <w:proofErr w:type="gramEnd"/>
      <w:r>
        <w:rPr>
          <w:szCs w:val="24"/>
        </w:rPr>
        <w:t xml:space="preserve"> short-term incentive compensation, I apply the </w:t>
      </w:r>
      <w:r w:rsidR="004367F7">
        <w:rPr>
          <w:szCs w:val="24"/>
        </w:rPr>
        <w:t xml:space="preserve">percentages of financial metrics as presented in </w:t>
      </w:r>
      <w:r w:rsidR="007D72CC">
        <w:rPr>
          <w:szCs w:val="24"/>
        </w:rPr>
        <w:t xml:space="preserve">CenterPoint’s </w:t>
      </w:r>
      <w:r w:rsidR="0058214C">
        <w:rPr>
          <w:szCs w:val="24"/>
        </w:rPr>
        <w:t>r</w:t>
      </w:r>
      <w:r w:rsidR="007D72CC">
        <w:rPr>
          <w:szCs w:val="24"/>
        </w:rPr>
        <w:t>esponse to RFI No. COH 3-17</w:t>
      </w:r>
      <w:r w:rsidR="000D1320">
        <w:rPr>
          <w:szCs w:val="24"/>
        </w:rPr>
        <w:t xml:space="preserve"> (included in Attachment </w:t>
      </w:r>
      <w:r w:rsidR="000D1320" w:rsidRPr="00BC3C10">
        <w:rPr>
          <w:szCs w:val="24"/>
        </w:rPr>
        <w:t>MF-11</w:t>
      </w:r>
      <w:r w:rsidR="000D1320">
        <w:rPr>
          <w:szCs w:val="24"/>
        </w:rPr>
        <w:t>)</w:t>
      </w:r>
      <w:r w:rsidR="007D72CC">
        <w:rPr>
          <w:rStyle w:val="FootnoteReference"/>
          <w:szCs w:val="24"/>
        </w:rPr>
        <w:footnoteReference w:id="14"/>
      </w:r>
      <w:r w:rsidR="004367F7">
        <w:rPr>
          <w:szCs w:val="24"/>
        </w:rPr>
        <w:t xml:space="preserve"> to the total test-year amounts by FERC account as presented in</w:t>
      </w:r>
      <w:r w:rsidR="007D72CC">
        <w:rPr>
          <w:szCs w:val="24"/>
        </w:rPr>
        <w:t xml:space="preserve"> WP V-K-6.1</w:t>
      </w:r>
      <w:r w:rsidR="0058214C">
        <w:rPr>
          <w:rStyle w:val="FootnoteReference"/>
          <w:szCs w:val="24"/>
        </w:rPr>
        <w:footnoteReference w:id="15"/>
      </w:r>
      <w:r w:rsidR="007D72CC">
        <w:rPr>
          <w:szCs w:val="24"/>
        </w:rPr>
        <w:t xml:space="preserve"> and referred to by CenterPoint in its RFI response to RFI No. Staff 3-01.</w:t>
      </w:r>
      <w:r w:rsidR="007D72CC">
        <w:rPr>
          <w:rStyle w:val="FootnoteReference"/>
          <w:szCs w:val="24"/>
        </w:rPr>
        <w:footnoteReference w:id="16"/>
      </w:r>
    </w:p>
    <w:p w:rsidR="004367F7" w:rsidRDefault="004367F7" w:rsidP="004367F7">
      <w:pPr>
        <w:spacing w:line="480" w:lineRule="auto"/>
        <w:ind w:left="720" w:hanging="720"/>
        <w:jc w:val="both"/>
        <w:rPr>
          <w:b/>
          <w:szCs w:val="24"/>
        </w:rPr>
      </w:pPr>
      <w:r>
        <w:rPr>
          <w:b/>
          <w:szCs w:val="24"/>
        </w:rPr>
        <w:t>Q.</w:t>
      </w:r>
      <w:r>
        <w:rPr>
          <w:b/>
          <w:szCs w:val="24"/>
        </w:rPr>
        <w:tab/>
        <w:t>Do you consider the same metrics to be financial and operational that CenterPoint considers to be financial and operational?</w:t>
      </w:r>
    </w:p>
    <w:p w:rsidR="004367F7" w:rsidRDefault="004367F7" w:rsidP="00A67425">
      <w:pPr>
        <w:spacing w:after="0" w:line="480" w:lineRule="auto"/>
        <w:ind w:left="720" w:hanging="720"/>
        <w:jc w:val="both"/>
        <w:rPr>
          <w:szCs w:val="24"/>
        </w:rPr>
      </w:pPr>
      <w:r>
        <w:rPr>
          <w:szCs w:val="24"/>
        </w:rPr>
        <w:t>A.</w:t>
      </w:r>
      <w:r>
        <w:rPr>
          <w:szCs w:val="24"/>
        </w:rPr>
        <w:tab/>
      </w:r>
      <w:r w:rsidR="00E053E6">
        <w:rPr>
          <w:szCs w:val="24"/>
        </w:rPr>
        <w:t xml:space="preserve">No.  CenterPoint and I agree on the categorization of four out </w:t>
      </w:r>
      <w:r w:rsidR="00922C06">
        <w:rPr>
          <w:szCs w:val="24"/>
        </w:rPr>
        <w:t xml:space="preserve">of </w:t>
      </w:r>
      <w:r w:rsidR="00E053E6">
        <w:rPr>
          <w:szCs w:val="24"/>
        </w:rPr>
        <w:t xml:space="preserve">five metrics, but not on one metric.  We agree that the metrics relating to </w:t>
      </w:r>
      <w:r w:rsidR="007D72CC">
        <w:rPr>
          <w:szCs w:val="24"/>
        </w:rPr>
        <w:t>“Overall Company Core Operating Income” and “Overall CNP Consolidated Diluted Earnings per Share”</w:t>
      </w:r>
      <w:r w:rsidR="00E053E6">
        <w:rPr>
          <w:szCs w:val="24"/>
        </w:rPr>
        <w:t xml:space="preserve"> are financially based, and that the metrics relating to </w:t>
      </w:r>
      <w:r w:rsidR="007D72CC">
        <w:rPr>
          <w:szCs w:val="24"/>
        </w:rPr>
        <w:t>“Customer Satisfaction Composite” and “Overall Company Safety Performance Composite”</w:t>
      </w:r>
      <w:r w:rsidR="00E053E6">
        <w:rPr>
          <w:szCs w:val="24"/>
        </w:rPr>
        <w:t xml:space="preserve"> are </w:t>
      </w:r>
      <w:r w:rsidR="00922C06">
        <w:rPr>
          <w:szCs w:val="24"/>
        </w:rPr>
        <w:t>operational metrics.  We</w:t>
      </w:r>
      <w:r w:rsidR="00E053E6">
        <w:rPr>
          <w:szCs w:val="24"/>
        </w:rPr>
        <w:t xml:space="preserve"> disagree on the categorization of </w:t>
      </w:r>
      <w:r w:rsidR="00AD2AD2">
        <w:rPr>
          <w:szCs w:val="24"/>
        </w:rPr>
        <w:t xml:space="preserve">the metric relating to </w:t>
      </w:r>
      <w:r w:rsidR="007D72CC">
        <w:rPr>
          <w:szCs w:val="24"/>
        </w:rPr>
        <w:t>“Overall O&amp;M Expenditures</w:t>
      </w:r>
      <w:r w:rsidR="00AD2AD2">
        <w:rPr>
          <w:szCs w:val="24"/>
        </w:rPr>
        <w:t>.</w:t>
      </w:r>
      <w:r w:rsidR="007D72CC">
        <w:rPr>
          <w:szCs w:val="24"/>
        </w:rPr>
        <w:t>”</w:t>
      </w:r>
      <w:r w:rsidR="00AD2AD2">
        <w:rPr>
          <w:szCs w:val="24"/>
        </w:rPr>
        <w:t xml:space="preserve">  In </w:t>
      </w:r>
      <w:r w:rsidR="0058214C">
        <w:rPr>
          <w:szCs w:val="24"/>
        </w:rPr>
        <w:t>CenterPoint’s response to RFI No. COH 3-17</w:t>
      </w:r>
      <w:r w:rsidR="00AD2AD2">
        <w:rPr>
          <w:szCs w:val="24"/>
        </w:rPr>
        <w:t>, CenterPoint places this metric under the umbrella heading called “Operation</w:t>
      </w:r>
      <w:r w:rsidR="00BC3C10">
        <w:rPr>
          <w:szCs w:val="24"/>
        </w:rPr>
        <w:t>al</w:t>
      </w:r>
      <w:r w:rsidR="00AD2AD2">
        <w:rPr>
          <w:szCs w:val="24"/>
        </w:rPr>
        <w:t>.”</w:t>
      </w:r>
      <w:r w:rsidR="0058214C">
        <w:rPr>
          <w:rStyle w:val="FootnoteReference"/>
          <w:szCs w:val="24"/>
        </w:rPr>
        <w:footnoteReference w:id="17"/>
      </w:r>
    </w:p>
    <w:p w:rsidR="00AD2AD2" w:rsidRDefault="00AD2AD2" w:rsidP="004367F7">
      <w:pPr>
        <w:spacing w:line="480" w:lineRule="auto"/>
        <w:ind w:left="720" w:hanging="720"/>
        <w:jc w:val="both"/>
        <w:rPr>
          <w:szCs w:val="24"/>
        </w:rPr>
      </w:pPr>
      <w:r>
        <w:rPr>
          <w:szCs w:val="24"/>
        </w:rPr>
        <w:tab/>
      </w:r>
      <w:r>
        <w:rPr>
          <w:szCs w:val="24"/>
        </w:rPr>
        <w:tab/>
        <w:t xml:space="preserve">I believe that the metric relating to operations and maintenance expense is financially based.  In general, a metric should be considered to be financial if its achievement or calculation is based on inputs </w:t>
      </w:r>
      <w:r w:rsidR="00BC3C10">
        <w:rPr>
          <w:szCs w:val="24"/>
        </w:rPr>
        <w:t>that relate to</w:t>
      </w:r>
      <w:r>
        <w:rPr>
          <w:szCs w:val="24"/>
        </w:rPr>
        <w:t xml:space="preserve"> a utility’s balance sheet or income statement.  In this case, the metric for savings in operations and maintenance expense </w:t>
      </w:r>
      <w:r w:rsidR="00922C06" w:rsidRPr="0046137F">
        <w:rPr>
          <w:szCs w:val="24"/>
        </w:rPr>
        <w:t>relates to</w:t>
      </w:r>
      <w:r>
        <w:rPr>
          <w:szCs w:val="24"/>
        </w:rPr>
        <w:t xml:space="preserve"> CenterPoint’s income statement.</w:t>
      </w:r>
    </w:p>
    <w:p w:rsidR="0058214C" w:rsidRDefault="00AD2AD2" w:rsidP="0058214C">
      <w:pPr>
        <w:pStyle w:val="FOFNumbered"/>
        <w:numPr>
          <w:ilvl w:val="0"/>
          <w:numId w:val="0"/>
        </w:numPr>
        <w:spacing w:line="480" w:lineRule="auto"/>
        <w:ind w:left="720" w:hanging="720"/>
      </w:pPr>
      <w:r>
        <w:rPr>
          <w:szCs w:val="24"/>
        </w:rPr>
        <w:tab/>
      </w:r>
      <w:r>
        <w:rPr>
          <w:szCs w:val="24"/>
        </w:rPr>
        <w:tab/>
        <w:t>Commissi</w:t>
      </w:r>
      <w:r w:rsidR="005F2AFA">
        <w:rPr>
          <w:szCs w:val="24"/>
        </w:rPr>
        <w:t xml:space="preserve">on precedent agrees with my categorization and not with CenterPoint’s.  </w:t>
      </w:r>
      <w:r w:rsidR="0058214C">
        <w:rPr>
          <w:szCs w:val="24"/>
        </w:rPr>
        <w:t>Referring to the Proposal for Decision in Docket No. 33309, Company witness Reed, in his direct testimony, writes,</w:t>
      </w:r>
    </w:p>
    <w:p w:rsidR="0058214C" w:rsidRDefault="0058214C" w:rsidP="0058214C">
      <w:pPr>
        <w:pStyle w:val="FOFNumbered"/>
        <w:numPr>
          <w:ilvl w:val="0"/>
          <w:numId w:val="0"/>
        </w:numPr>
        <w:spacing w:line="240" w:lineRule="auto"/>
        <w:ind w:left="1440" w:right="720"/>
        <w:rPr>
          <w:rFonts w:eastAsia="Calibri"/>
        </w:rPr>
      </w:pPr>
      <w:r>
        <w:rPr>
          <w:rFonts w:eastAsia="Calibri"/>
        </w:rPr>
        <w:t>Financial goals have previously been identified as those goals that relate to “maximizing profit and growth, increasing earnings per share, or increasing return on equity</w:t>
      </w:r>
      <w:r w:rsidRPr="00CB2A2B">
        <w:rPr>
          <w:rFonts w:eastAsia="Calibri"/>
        </w:rPr>
        <w:t>.</w:t>
      </w:r>
      <w:r>
        <w:rPr>
          <w:rFonts w:eastAsia="Calibri"/>
        </w:rPr>
        <w:t>”</w:t>
      </w:r>
      <w:r>
        <w:rPr>
          <w:rStyle w:val="FootnoteReference"/>
          <w:rFonts w:eastAsia="Calibri"/>
        </w:rPr>
        <w:footnoteReference w:id="18"/>
      </w:r>
    </w:p>
    <w:p w:rsidR="0058214C" w:rsidRPr="007A22A5" w:rsidRDefault="0058214C" w:rsidP="0058214C">
      <w:pPr>
        <w:pStyle w:val="FOFNumbered"/>
        <w:numPr>
          <w:ilvl w:val="0"/>
          <w:numId w:val="0"/>
        </w:numPr>
        <w:spacing w:line="240" w:lineRule="auto"/>
        <w:ind w:left="720" w:right="720" w:hanging="720"/>
        <w:rPr>
          <w:rFonts w:eastAsia="Calibri"/>
        </w:rPr>
      </w:pPr>
    </w:p>
    <w:p w:rsidR="0058214C" w:rsidRPr="003E3896" w:rsidRDefault="0058214C" w:rsidP="0058214C">
      <w:pPr>
        <w:spacing w:line="480" w:lineRule="auto"/>
        <w:ind w:left="720"/>
        <w:jc w:val="both"/>
        <w:rPr>
          <w:szCs w:val="24"/>
        </w:rPr>
      </w:pPr>
      <w:r>
        <w:t>The metric relating to “Overall O&amp;M Expenditures” is one that relates to maximizing profit, and thus it should be con</w:t>
      </w:r>
      <w:r w:rsidR="00922C06">
        <w:t>sidered to be financially based</w:t>
      </w:r>
      <w:r>
        <w:t xml:space="preserve">. </w:t>
      </w:r>
    </w:p>
    <w:p w:rsidR="00AD2AD2" w:rsidRDefault="00AD2AD2" w:rsidP="00487639">
      <w:pPr>
        <w:spacing w:after="0" w:line="480" w:lineRule="auto"/>
        <w:ind w:left="720" w:hanging="720"/>
        <w:jc w:val="both"/>
        <w:rPr>
          <w:szCs w:val="24"/>
        </w:rPr>
      </w:pPr>
      <w:r>
        <w:rPr>
          <w:szCs w:val="24"/>
        </w:rPr>
        <w:tab/>
      </w:r>
      <w:r>
        <w:rPr>
          <w:szCs w:val="24"/>
        </w:rPr>
        <w:tab/>
        <w:t>In terms of the theoretical framework of utility ratemaking, a utility minimizing</w:t>
      </w:r>
      <w:r w:rsidR="00077424">
        <w:rPr>
          <w:szCs w:val="24"/>
        </w:rPr>
        <w:t xml:space="preserve"> (or managing)</w:t>
      </w:r>
      <w:r>
        <w:rPr>
          <w:szCs w:val="24"/>
        </w:rPr>
        <w:t xml:space="preserve"> its operations and maintenance expenses could accrue benefits to different stakeholders.  To the extent that a utility uses its savings to fund short-term incentive compensation, it </w:t>
      </w:r>
      <w:r w:rsidR="005C5693">
        <w:rPr>
          <w:szCs w:val="24"/>
        </w:rPr>
        <w:t xml:space="preserve">should </w:t>
      </w:r>
      <w:r>
        <w:rPr>
          <w:szCs w:val="24"/>
        </w:rPr>
        <w:t>be presumed that the benefits do not accrue to ratepayers.  In this instance, both Commission precedent and ratemaking theory support considering this metric to be financial and not operational.</w:t>
      </w:r>
    </w:p>
    <w:p w:rsidR="00077424" w:rsidRDefault="00077424" w:rsidP="00487639">
      <w:pPr>
        <w:pStyle w:val="Style12ptJustifiedLeft0Hanging05LinespacingD"/>
        <w:rPr>
          <w:b/>
        </w:rPr>
      </w:pPr>
      <w:r>
        <w:rPr>
          <w:b/>
        </w:rPr>
        <w:t>Q.</w:t>
      </w:r>
      <w:r>
        <w:rPr>
          <w:b/>
        </w:rPr>
        <w:tab/>
        <w:t>Were any amounts for incentive compensation capitalized in CenterPoint’s request?</w:t>
      </w:r>
    </w:p>
    <w:p w:rsidR="00D47F6F" w:rsidRDefault="00077424" w:rsidP="00487639">
      <w:pPr>
        <w:pStyle w:val="Style12ptJustifiedLeft0Hanging05LinespacingD"/>
      </w:pPr>
      <w:r>
        <w:t>A.</w:t>
      </w:r>
      <w:r>
        <w:tab/>
        <w:t>Yes.  CenterPoint’s request also included</w:t>
      </w:r>
      <w:r w:rsidRPr="00EA16A5">
        <w:t xml:space="preserve"> </w:t>
      </w:r>
      <w:r>
        <w:t xml:space="preserve">amounts for affiliate short-term incentive compensation that were capitalized to </w:t>
      </w:r>
      <w:proofErr w:type="gramStart"/>
      <w:r>
        <w:t>invested</w:t>
      </w:r>
      <w:proofErr w:type="gramEnd"/>
      <w:r>
        <w:t xml:space="preserve"> capital accounts.  </w:t>
      </w:r>
      <w:r w:rsidR="00BC3C10">
        <w:t>I recommend removing</w:t>
      </w:r>
      <w:r w:rsidR="00D47F6F" w:rsidRPr="00D47F6F">
        <w:t xml:space="preserve"> $2,365,000</w:t>
      </w:r>
      <w:r w:rsidR="00D47F6F">
        <w:t xml:space="preserve"> from CenterPoint’s rate base,</w:t>
      </w:r>
      <w:r>
        <w:t xml:space="preserve"> as reflected on Staff’s revenue requirement model in </w:t>
      </w:r>
      <w:r w:rsidR="00241C6C">
        <w:t>Attachment MF-</w:t>
      </w:r>
      <w:r w:rsidRPr="00D47F6F">
        <w:t>1</w:t>
      </w:r>
      <w:r>
        <w:t>.</w:t>
      </w:r>
      <w:r w:rsidR="00D47F6F">
        <w:t xml:space="preserve">  </w:t>
      </w:r>
      <w:r w:rsidR="00D47F6F" w:rsidRPr="00BC3C10">
        <w:t>I used the same methodology, as described earlier, in calculating the amounts of capitalized incentive compensation to remove from rates as I used to calculate the amounts of expensed incentive compensation to remove from rates.</w:t>
      </w:r>
    </w:p>
    <w:p w:rsidR="00077424" w:rsidRDefault="00077424" w:rsidP="00487639">
      <w:pPr>
        <w:pStyle w:val="Style12ptJustifiedLeft0Hanging05LinespacingD"/>
        <w:rPr>
          <w:b/>
        </w:rPr>
      </w:pPr>
      <w:r>
        <w:rPr>
          <w:b/>
        </w:rPr>
        <w:t>Q.</w:t>
      </w:r>
      <w:r>
        <w:rPr>
          <w:b/>
        </w:rPr>
        <w:tab/>
        <w:t>Why do you recommend removing those capitalized amounts?</w:t>
      </w:r>
    </w:p>
    <w:p w:rsidR="00460329" w:rsidRPr="0046137F" w:rsidRDefault="00077424" w:rsidP="00D47F6F">
      <w:pPr>
        <w:pStyle w:val="Style12ptJustifiedLeft0Hanging05LinespacingD"/>
      </w:pPr>
      <w:r>
        <w:t>A.</w:t>
      </w:r>
      <w:r>
        <w:tab/>
        <w:t>The Commission has previously found that financially based incentive compensation is unreasonable and not necessary to provide utility service to the public for a TDU.  I recommend removing such amounts from rate base so that the utility will not earn a return on these properly disallowed amounts of invested capital.</w:t>
      </w:r>
    </w:p>
    <w:p w:rsidR="00CE4AD4" w:rsidRDefault="00CE4AD4" w:rsidP="00CE4AD4">
      <w:pPr>
        <w:pStyle w:val="Heading2"/>
        <w:numPr>
          <w:ilvl w:val="0"/>
          <w:numId w:val="18"/>
        </w:numPr>
        <w:overflowPunct w:val="0"/>
        <w:autoSpaceDE w:val="0"/>
        <w:autoSpaceDN w:val="0"/>
        <w:adjustRightInd w:val="0"/>
        <w:spacing w:after="60" w:line="480" w:lineRule="auto"/>
        <w:ind w:right="0"/>
        <w:textAlignment w:val="baseline"/>
      </w:pPr>
      <w:bookmarkStart w:id="7" w:name="_Toc11156111"/>
      <w:r>
        <w:t>Supplemental (Non-Qualified) Pension Expense</w:t>
      </w:r>
      <w:bookmarkEnd w:id="7"/>
    </w:p>
    <w:p w:rsidR="00CE4AD4" w:rsidRDefault="00CE4AD4" w:rsidP="00CE4AD4">
      <w:pPr>
        <w:pStyle w:val="Style12ptJustifiedLeft0Hanging05LinespacingD"/>
        <w:spacing w:before="240"/>
        <w:rPr>
          <w:b/>
        </w:rPr>
      </w:pPr>
      <w:r>
        <w:rPr>
          <w:b/>
        </w:rPr>
        <w:t>Q.</w:t>
      </w:r>
      <w:r>
        <w:rPr>
          <w:b/>
        </w:rPr>
        <w:tab/>
        <w:t xml:space="preserve">Please explain </w:t>
      </w:r>
      <w:r w:rsidR="00E0066A">
        <w:rPr>
          <w:b/>
        </w:rPr>
        <w:t>what</w:t>
      </w:r>
      <w:r>
        <w:rPr>
          <w:b/>
        </w:rPr>
        <w:t xml:space="preserve"> supplemental (non-qualified) pension expense</w:t>
      </w:r>
      <w:r w:rsidR="00E0066A">
        <w:rPr>
          <w:b/>
        </w:rPr>
        <w:t xml:space="preserve"> is</w:t>
      </w:r>
      <w:r>
        <w:rPr>
          <w:b/>
        </w:rPr>
        <w:t>.</w:t>
      </w:r>
    </w:p>
    <w:p w:rsidR="00CE4AD4" w:rsidRDefault="00CE4AD4" w:rsidP="00CE4AD4">
      <w:pPr>
        <w:pStyle w:val="FOFNumbered"/>
        <w:numPr>
          <w:ilvl w:val="0"/>
          <w:numId w:val="0"/>
        </w:numPr>
        <w:spacing w:line="480" w:lineRule="auto"/>
        <w:ind w:left="720" w:hanging="720"/>
      </w:pPr>
      <w:r>
        <w:t>A.</w:t>
      </w:r>
      <w:r>
        <w:tab/>
        <w:t>N</w:t>
      </w:r>
      <w:r w:rsidR="00E0066A">
        <w:t xml:space="preserve">on-qualified pension expenses are amounts paid for an employer-sponsored retirement plan—usually </w:t>
      </w:r>
      <w:r w:rsidR="00FF593D">
        <w:t xml:space="preserve">aimed at the unique retirement needs </w:t>
      </w:r>
      <w:r w:rsidR="00E0066A">
        <w:t xml:space="preserve">for key executive employees who earn wages far in excess of average wages—that fall outside the scope of the employee retirement </w:t>
      </w:r>
      <w:r w:rsidR="00922C06">
        <w:t xml:space="preserve">income </w:t>
      </w:r>
      <w:r w:rsidR="00E0066A">
        <w:t>security act (</w:t>
      </w:r>
      <w:r w:rsidR="007A22A5">
        <w:t>“</w:t>
      </w:r>
      <w:r w:rsidR="00E0066A">
        <w:t>ERISA</w:t>
      </w:r>
      <w:r w:rsidR="007A22A5">
        <w:t>”</w:t>
      </w:r>
      <w:r w:rsidR="00E0066A">
        <w:t>) guidelines.</w:t>
      </w:r>
      <w:r w:rsidR="007A22A5">
        <w:t xml:space="preserve">  Non-qualified pensions </w:t>
      </w:r>
      <w:r w:rsidR="002C0E1A">
        <w:t>include</w:t>
      </w:r>
      <w:r w:rsidR="007A22A5">
        <w:t xml:space="preserve"> supplemental ex</w:t>
      </w:r>
      <w:r w:rsidR="000D1320">
        <w:t>ecutive retirement plans (“SERPs</w:t>
      </w:r>
      <w:r w:rsidR="007A22A5">
        <w:t>”)</w:t>
      </w:r>
      <w:r w:rsidR="002C0E1A">
        <w:t xml:space="preserve"> and deferred savings plans</w:t>
      </w:r>
      <w:r w:rsidR="007A22A5">
        <w:t>.</w:t>
      </w:r>
    </w:p>
    <w:p w:rsidR="00534112" w:rsidRDefault="00534112" w:rsidP="00CE4AD4">
      <w:pPr>
        <w:pStyle w:val="FOFNumbered"/>
        <w:numPr>
          <w:ilvl w:val="0"/>
          <w:numId w:val="0"/>
        </w:numPr>
        <w:spacing w:line="480" w:lineRule="auto"/>
        <w:ind w:left="720" w:hanging="720"/>
      </w:pPr>
    </w:p>
    <w:p w:rsidR="00E0066A" w:rsidRDefault="00E0066A" w:rsidP="00E0066A">
      <w:pPr>
        <w:pStyle w:val="Style12ptJustifiedLeft0Hanging05LinespacingD"/>
        <w:spacing w:before="240"/>
        <w:rPr>
          <w:b/>
        </w:rPr>
      </w:pPr>
      <w:r>
        <w:rPr>
          <w:b/>
        </w:rPr>
        <w:t>Q.</w:t>
      </w:r>
      <w:r>
        <w:rPr>
          <w:b/>
        </w:rPr>
        <w:tab/>
        <w:t>Did CenterPoint include any amounts in its request for annual rates relating to non-qualified pension expense?</w:t>
      </w:r>
    </w:p>
    <w:p w:rsidR="00CE4AD4" w:rsidRDefault="00E0066A" w:rsidP="00E0066A">
      <w:pPr>
        <w:pStyle w:val="FOFNumbered"/>
        <w:numPr>
          <w:ilvl w:val="0"/>
          <w:numId w:val="0"/>
        </w:numPr>
        <w:spacing w:line="480" w:lineRule="auto"/>
        <w:ind w:left="720" w:hanging="720"/>
      </w:pPr>
      <w:r>
        <w:t>A.</w:t>
      </w:r>
      <w:r>
        <w:tab/>
        <w:t xml:space="preserve">Yes.  </w:t>
      </w:r>
      <w:r w:rsidR="00FF593D">
        <w:t>In its respons</w:t>
      </w:r>
      <w:r w:rsidR="002C0E1A">
        <w:t>e to RFI No</w:t>
      </w:r>
      <w:r w:rsidR="00FF593D">
        <w:t>. Staff 2-20</w:t>
      </w:r>
      <w:r w:rsidR="00241C6C">
        <w:t xml:space="preserve"> (included in Attachment MF-12)</w:t>
      </w:r>
      <w:r w:rsidR="00FF593D">
        <w:t xml:space="preserve">, </w:t>
      </w:r>
      <w:r w:rsidR="00CE4AD4">
        <w:t>CenterPoint</w:t>
      </w:r>
      <w:r w:rsidR="00FF593D">
        <w:t xml:space="preserve"> acknowledged that it</w:t>
      </w:r>
      <w:r w:rsidR="00CE4AD4">
        <w:t xml:space="preserve"> included amounts relating to supplemental (non-qualified) pension expens</w:t>
      </w:r>
      <w:r w:rsidR="00922C06">
        <w:t xml:space="preserve">e in its request in this docket.  </w:t>
      </w:r>
      <w:r w:rsidR="00922C06" w:rsidRPr="00460329">
        <w:t>CenterPoint’s request comes</w:t>
      </w:r>
      <w:r w:rsidR="00CE4AD4">
        <w:t xml:space="preserve"> despite long-standing Commission precedent disallowing it.  The Company requested </w:t>
      </w:r>
      <w:r w:rsidR="00FF593D">
        <w:t xml:space="preserve">in annual rates amounts of </w:t>
      </w:r>
      <w:r w:rsidR="00CE4AD4">
        <w:t>$</w:t>
      </w:r>
      <w:r w:rsidR="00FF593D">
        <w:t>303,818</w:t>
      </w:r>
      <w:r w:rsidR="00CE4AD4">
        <w:t xml:space="preserve"> of directly incurred non-qualified pension expense and an additional $</w:t>
      </w:r>
      <w:r w:rsidR="00FF593D">
        <w:t>1,478,817</w:t>
      </w:r>
      <w:r w:rsidR="00CE4AD4">
        <w:t xml:space="preserve"> that was allocated from affiliates.</w:t>
      </w:r>
      <w:r w:rsidR="00CE4AD4">
        <w:rPr>
          <w:rStyle w:val="FootnoteReference"/>
        </w:rPr>
        <w:footnoteReference w:id="19"/>
      </w:r>
    </w:p>
    <w:p w:rsidR="00CE4AD4" w:rsidRDefault="00CE4AD4" w:rsidP="00CE4AD4">
      <w:pPr>
        <w:pStyle w:val="Style12ptJustifiedLeft0Hanging05LinespacingD"/>
        <w:spacing w:before="240"/>
        <w:rPr>
          <w:b/>
        </w:rPr>
      </w:pPr>
      <w:r>
        <w:rPr>
          <w:b/>
        </w:rPr>
        <w:t>Q.</w:t>
      </w:r>
      <w:r>
        <w:rPr>
          <w:b/>
        </w:rPr>
        <w:tab/>
        <w:t>Please explain your adjustment to the Company’s requested supplemental (non-qualified) pension expense.</w:t>
      </w:r>
    </w:p>
    <w:p w:rsidR="00CE4AD4" w:rsidRDefault="00CE4AD4" w:rsidP="00CE4AD4">
      <w:pPr>
        <w:pStyle w:val="FOFNumbered"/>
        <w:numPr>
          <w:ilvl w:val="0"/>
          <w:numId w:val="0"/>
        </w:numPr>
        <w:spacing w:line="480" w:lineRule="auto"/>
        <w:ind w:left="720" w:hanging="720"/>
      </w:pPr>
      <w:r>
        <w:t>A.</w:t>
      </w:r>
      <w:r>
        <w:tab/>
        <w:t xml:space="preserve">I recommend removing the amounts for supplemental (non-qualified) pension expense from CenterPoint’s </w:t>
      </w:r>
      <w:r w:rsidR="00922C06">
        <w:t>revenue requirement</w:t>
      </w:r>
      <w:r>
        <w:t>, consistent with Commission precedent.</w:t>
      </w:r>
    </w:p>
    <w:p w:rsidR="00CE4AD4" w:rsidRDefault="007A22A5" w:rsidP="00CE4AD4">
      <w:pPr>
        <w:pStyle w:val="Style12ptJustifiedLeft0Hanging05LinespacingD"/>
        <w:spacing w:before="240"/>
        <w:rPr>
          <w:b/>
        </w:rPr>
      </w:pPr>
      <w:r>
        <w:rPr>
          <w:b/>
        </w:rPr>
        <w:t>Q.</w:t>
      </w:r>
      <w:r>
        <w:rPr>
          <w:b/>
        </w:rPr>
        <w:tab/>
        <w:t xml:space="preserve">Please provide some examples of </w:t>
      </w:r>
      <w:r w:rsidR="00CE4AD4">
        <w:rPr>
          <w:b/>
        </w:rPr>
        <w:t>recent docke</w:t>
      </w:r>
      <w:r>
        <w:rPr>
          <w:b/>
        </w:rPr>
        <w:t>ts</w:t>
      </w:r>
      <w:r w:rsidR="00CE4AD4">
        <w:rPr>
          <w:b/>
        </w:rPr>
        <w:t xml:space="preserve"> where the Commission disallowed supplemental (non-qualified) pension expense.</w:t>
      </w:r>
    </w:p>
    <w:p w:rsidR="007A22A5" w:rsidRDefault="00CE4AD4" w:rsidP="007A22A5">
      <w:pPr>
        <w:pStyle w:val="FOFNumbered"/>
        <w:numPr>
          <w:ilvl w:val="0"/>
          <w:numId w:val="0"/>
        </w:numPr>
        <w:spacing w:line="480" w:lineRule="auto"/>
        <w:ind w:left="720" w:hanging="720"/>
      </w:pPr>
      <w:r>
        <w:t>A.</w:t>
      </w:r>
      <w:r>
        <w:tab/>
      </w:r>
      <w:r w:rsidR="007A22A5">
        <w:t>In Docket No. 46449, the Commission disallowed SWEPCO’s non-qualified pension expense, finding that:</w:t>
      </w:r>
    </w:p>
    <w:p w:rsidR="007A22A5" w:rsidRPr="007A22A5" w:rsidRDefault="007A22A5" w:rsidP="00D47F6F">
      <w:pPr>
        <w:pStyle w:val="FOFNumbered"/>
        <w:numPr>
          <w:ilvl w:val="0"/>
          <w:numId w:val="0"/>
        </w:numPr>
        <w:spacing w:after="120" w:line="240" w:lineRule="auto"/>
        <w:ind w:left="1440" w:right="720"/>
        <w:rPr>
          <w:rFonts w:eastAsia="Calibri"/>
        </w:rPr>
      </w:pPr>
      <w:r w:rsidRPr="00CB2A2B">
        <w:rPr>
          <w:rFonts w:eastAsia="Calibri"/>
        </w:rPr>
        <w:t xml:space="preserve">SWEPCO’s </w:t>
      </w:r>
      <w:r>
        <w:rPr>
          <w:rFonts w:eastAsia="Calibri"/>
        </w:rPr>
        <w:t xml:space="preserve">requested </w:t>
      </w:r>
      <w:r w:rsidRPr="00CB2A2B">
        <w:rPr>
          <w:rFonts w:eastAsia="Calibri"/>
        </w:rPr>
        <w:t xml:space="preserve">non-qualified </w:t>
      </w:r>
      <w:r>
        <w:rPr>
          <w:rFonts w:eastAsia="Calibri"/>
        </w:rPr>
        <w:t xml:space="preserve">supplemental </w:t>
      </w:r>
      <w:r w:rsidRPr="00CB2A2B">
        <w:rPr>
          <w:rFonts w:eastAsia="Calibri"/>
        </w:rPr>
        <w:t xml:space="preserve">executive retirement benefits are not reasonable or necessary to provide utility service to the public, </w:t>
      </w:r>
      <w:r>
        <w:rPr>
          <w:rFonts w:eastAsia="Calibri"/>
        </w:rPr>
        <w:t xml:space="preserve">are </w:t>
      </w:r>
      <w:r w:rsidRPr="00CB2A2B">
        <w:rPr>
          <w:rFonts w:eastAsia="Calibri"/>
        </w:rPr>
        <w:t>not in the public interest, and should not be included in SWEPCO’s cost of service.</w:t>
      </w:r>
      <w:r>
        <w:rPr>
          <w:rStyle w:val="FootnoteReference"/>
          <w:rFonts w:eastAsia="Calibri"/>
        </w:rPr>
        <w:footnoteReference w:id="20"/>
      </w:r>
    </w:p>
    <w:p w:rsidR="00CE4AD4" w:rsidRDefault="000D1320" w:rsidP="007A22A5">
      <w:pPr>
        <w:pStyle w:val="FOFNumbered"/>
        <w:numPr>
          <w:ilvl w:val="0"/>
          <w:numId w:val="0"/>
        </w:numPr>
        <w:spacing w:line="480" w:lineRule="auto"/>
        <w:ind w:left="720"/>
        <w:rPr>
          <w:rFonts w:eastAsia="Calibri"/>
        </w:rPr>
      </w:pPr>
      <w:r>
        <w:t>This finding i</w:t>
      </w:r>
      <w:r w:rsidR="007A22A5">
        <w:t xml:space="preserve">n Docket No. 46449 was consistent with the Commission’s earlier, identical finding in </w:t>
      </w:r>
      <w:r w:rsidR="00CE4AD4">
        <w:t xml:space="preserve">Docket No. 40443, </w:t>
      </w:r>
      <w:r w:rsidR="007A22A5">
        <w:t>SWEPCO’s previous base rate case</w:t>
      </w:r>
      <w:r w:rsidR="00CE4AD4" w:rsidRPr="00CB2A2B">
        <w:rPr>
          <w:rFonts w:eastAsia="Calibri"/>
        </w:rPr>
        <w:t>.</w:t>
      </w:r>
      <w:r w:rsidR="00CE4AD4">
        <w:rPr>
          <w:rStyle w:val="FootnoteReference"/>
          <w:rFonts w:eastAsia="Calibri"/>
        </w:rPr>
        <w:footnoteReference w:id="21"/>
      </w:r>
    </w:p>
    <w:p w:rsidR="007A22A5" w:rsidRDefault="007A22A5" w:rsidP="007A22A5">
      <w:pPr>
        <w:pStyle w:val="FOFNumbered"/>
        <w:numPr>
          <w:ilvl w:val="0"/>
          <w:numId w:val="0"/>
        </w:numPr>
        <w:spacing w:line="480" w:lineRule="auto"/>
        <w:ind w:left="720" w:hanging="720"/>
      </w:pPr>
      <w:r>
        <w:rPr>
          <w:rFonts w:eastAsia="Calibri"/>
        </w:rPr>
        <w:tab/>
      </w:r>
      <w:r>
        <w:rPr>
          <w:rFonts w:eastAsia="Calibri"/>
        </w:rPr>
        <w:tab/>
        <w:t xml:space="preserve">Furthermore, </w:t>
      </w:r>
      <w:r w:rsidR="000D1320">
        <w:t>i</w:t>
      </w:r>
      <w:r>
        <w:t>n Docket No. 46449, the Commission disallowed from rate base SWEPCO’s capitalized amounts for non-qualified pension expense, finding that:</w:t>
      </w:r>
    </w:p>
    <w:p w:rsidR="009577E6" w:rsidRPr="000D1320" w:rsidRDefault="007A22A5" w:rsidP="00D47F6F">
      <w:pPr>
        <w:pStyle w:val="FOFNumbered"/>
        <w:numPr>
          <w:ilvl w:val="0"/>
          <w:numId w:val="0"/>
        </w:numPr>
        <w:spacing w:after="120" w:line="240" w:lineRule="auto"/>
        <w:ind w:left="1440" w:right="720"/>
        <w:rPr>
          <w:rFonts w:eastAsia="Calibri"/>
        </w:rPr>
      </w:pPr>
      <w:r>
        <w:rPr>
          <w:rFonts w:eastAsia="Calibri"/>
        </w:rPr>
        <w:t xml:space="preserve">The capitalized portion of </w:t>
      </w:r>
      <w:r w:rsidRPr="00CB2A2B">
        <w:rPr>
          <w:rFonts w:eastAsia="Calibri"/>
        </w:rPr>
        <w:t xml:space="preserve">SWEPCO’s </w:t>
      </w:r>
      <w:r w:rsidR="009577E6">
        <w:rPr>
          <w:rFonts w:eastAsia="Calibri"/>
        </w:rPr>
        <w:t xml:space="preserve">supplemental-executive-retirement-plan (SERP) that are financially based are properly excluded from SWEPCO’s rate base because they are not reasonable or necessary to </w:t>
      </w:r>
      <w:r w:rsidRPr="00CB2A2B">
        <w:rPr>
          <w:rFonts w:eastAsia="Calibri"/>
        </w:rPr>
        <w:t xml:space="preserve">provide utility service to the public, </w:t>
      </w:r>
      <w:r>
        <w:rPr>
          <w:rFonts w:eastAsia="Calibri"/>
        </w:rPr>
        <w:t xml:space="preserve">are </w:t>
      </w:r>
      <w:r w:rsidRPr="00CB2A2B">
        <w:rPr>
          <w:rFonts w:eastAsia="Calibri"/>
        </w:rPr>
        <w:t>not in the public interest, and should not be included in SWEPCO’s cost of service.</w:t>
      </w:r>
      <w:r>
        <w:rPr>
          <w:rStyle w:val="FootnoteReference"/>
          <w:rFonts w:eastAsia="Calibri"/>
        </w:rPr>
        <w:footnoteReference w:id="22"/>
      </w:r>
    </w:p>
    <w:p w:rsidR="002C0E1A" w:rsidRPr="002C0E1A" w:rsidRDefault="002C0E1A" w:rsidP="00CE4AD4">
      <w:pPr>
        <w:pStyle w:val="Style12ptJustifiedLeft0Hanging05LinespacingD"/>
        <w:ind w:firstLine="0"/>
      </w:pPr>
      <w:r>
        <w:t>Commission precedent disallows non-qualified pension expense from operations and maintenance expense and disallows any capitalized amounts of non-qualified pension expense from rate base.</w:t>
      </w:r>
    </w:p>
    <w:p w:rsidR="00EA16A5" w:rsidRDefault="00EA16A5" w:rsidP="00487639">
      <w:pPr>
        <w:pStyle w:val="Style12ptJustifiedLeft0Hanging05LinespacingD"/>
        <w:rPr>
          <w:b/>
        </w:rPr>
      </w:pPr>
      <w:r>
        <w:rPr>
          <w:b/>
        </w:rPr>
        <w:t>Q.</w:t>
      </w:r>
      <w:r>
        <w:rPr>
          <w:b/>
        </w:rPr>
        <w:tab/>
        <w:t>Were any amounts for supplemental (non-qualified) pension capitalized in CenterPoint’s request?</w:t>
      </w:r>
    </w:p>
    <w:p w:rsidR="00EA16A5" w:rsidRDefault="00EA16A5" w:rsidP="00487639">
      <w:pPr>
        <w:pStyle w:val="Style12ptJustifiedLeft0Hanging05LinespacingD"/>
      </w:pPr>
      <w:r>
        <w:t>A.</w:t>
      </w:r>
      <w:r>
        <w:tab/>
        <w:t>Yes.  CenterPoint’s request also included</w:t>
      </w:r>
      <w:r w:rsidRPr="00EA16A5">
        <w:t xml:space="preserve"> </w:t>
      </w:r>
      <w:r>
        <w:t xml:space="preserve">amounts for non-qualified pension expense that were capitalized to </w:t>
      </w:r>
      <w:proofErr w:type="gramStart"/>
      <w:r>
        <w:t>invested</w:t>
      </w:r>
      <w:proofErr w:type="gramEnd"/>
      <w:r>
        <w:t xml:space="preserve"> capital accounts.  CenterPoint’s request includes a total </w:t>
      </w:r>
      <w:r w:rsidR="009E7675">
        <w:t>of $294,923</w:t>
      </w:r>
      <w:r>
        <w:t xml:space="preserve"> of capitalized supplemental (non-qualified) pension expense</w:t>
      </w:r>
      <w:r w:rsidR="009E7675">
        <w:t xml:space="preserve">, including amounts of $276,629 capitalized for direct company and $18,294 capitalized for affiliates, as shown </w:t>
      </w:r>
      <w:r w:rsidR="009E7675" w:rsidRPr="00460329">
        <w:t xml:space="preserve">on </w:t>
      </w:r>
      <w:r w:rsidR="000D1320" w:rsidRPr="00460329">
        <w:t>Attachment MF-12</w:t>
      </w:r>
      <w:r>
        <w:t>.</w:t>
      </w:r>
      <w:r w:rsidR="009E7675">
        <w:rPr>
          <w:rStyle w:val="FootnoteReference"/>
        </w:rPr>
        <w:footnoteReference w:id="23"/>
      </w:r>
    </w:p>
    <w:p w:rsidR="00CE4AD4" w:rsidRDefault="00CE4AD4" w:rsidP="00487639">
      <w:pPr>
        <w:pStyle w:val="Style12ptJustifiedLeft0Hanging05LinespacingD"/>
        <w:rPr>
          <w:b/>
        </w:rPr>
      </w:pPr>
      <w:r>
        <w:rPr>
          <w:b/>
        </w:rPr>
        <w:t>Q.</w:t>
      </w:r>
      <w:r>
        <w:rPr>
          <w:b/>
        </w:rPr>
        <w:tab/>
      </w:r>
      <w:r w:rsidR="00EA16A5">
        <w:rPr>
          <w:b/>
        </w:rPr>
        <w:t>What is your recommendation regarding those capitalized amounts?</w:t>
      </w:r>
    </w:p>
    <w:p w:rsidR="00EA16A5" w:rsidRDefault="00CE4AD4" w:rsidP="00CE4AD4">
      <w:pPr>
        <w:pStyle w:val="Style12ptJustifiedLeft0Hanging05LinespacingD"/>
      </w:pPr>
      <w:r>
        <w:t>A.</w:t>
      </w:r>
      <w:r>
        <w:tab/>
      </w:r>
      <w:r w:rsidR="00EA16A5">
        <w:t xml:space="preserve">I recommend removing from rate base any amounts capitalized for non-qualified pension expense.  </w:t>
      </w:r>
    </w:p>
    <w:p w:rsidR="00EA74F6" w:rsidRPr="000D1320" w:rsidRDefault="009E7675" w:rsidP="000D1320">
      <w:pPr>
        <w:pStyle w:val="Style12ptJustifiedLeft0Hanging05LinespacingD"/>
        <w:ind w:firstLine="720"/>
      </w:pPr>
      <w:r>
        <w:t>As provided above,</w:t>
      </w:r>
      <w:r w:rsidR="00CE4AD4">
        <w:t xml:space="preserve"> the Commission has previously found that non-qualified retirement benefits are not reasonable or necessary to provide utility service to the public, </w:t>
      </w:r>
      <w:r w:rsidR="000D1320">
        <w:t xml:space="preserve">are </w:t>
      </w:r>
      <w:r w:rsidR="00CE4AD4">
        <w:t>not in the public interest, and should b</w:t>
      </w:r>
      <w:r w:rsidR="009577E6">
        <w:t xml:space="preserve">e excluded from </w:t>
      </w:r>
      <w:r w:rsidR="00922C06">
        <w:t>a utility’s revenue requirement</w:t>
      </w:r>
      <w:r w:rsidR="009577E6">
        <w:t>; the Commission has required such amounts to be removed from rate base</w:t>
      </w:r>
      <w:r w:rsidR="00CE4AD4">
        <w:t xml:space="preserve"> </w:t>
      </w:r>
      <w:r w:rsidR="009577E6">
        <w:t>so that the utility will</w:t>
      </w:r>
      <w:r w:rsidR="00CE4AD4">
        <w:t xml:space="preserve"> </w:t>
      </w:r>
      <w:r w:rsidR="009577E6">
        <w:t xml:space="preserve">not </w:t>
      </w:r>
      <w:r w:rsidR="00CE4AD4">
        <w:t>earn a return</w:t>
      </w:r>
      <w:r w:rsidR="009577E6">
        <w:t xml:space="preserve"> on these properly disallowed amounts of invested capital</w:t>
      </w:r>
      <w:r w:rsidR="00CE4AD4">
        <w:t>.</w:t>
      </w:r>
      <w:r>
        <w:t xml:space="preserve">  My recommendation conforms </w:t>
      </w:r>
      <w:proofErr w:type="gramStart"/>
      <w:r>
        <w:t>with</w:t>
      </w:r>
      <w:proofErr w:type="gramEnd"/>
      <w:r>
        <w:t xml:space="preserve"> Commission precedent and removes both annual expense amounts and capitalized amounts for non-qualified pensions from CenterPoint’s request.</w:t>
      </w:r>
    </w:p>
    <w:p w:rsidR="00422538" w:rsidRPr="0084510C" w:rsidRDefault="00422538" w:rsidP="000D1320">
      <w:pPr>
        <w:pStyle w:val="Heading2"/>
        <w:ind w:left="720"/>
      </w:pPr>
      <w:bookmarkStart w:id="8" w:name="_Toc11156112"/>
      <w:r>
        <w:t>C</w:t>
      </w:r>
      <w:r w:rsidRPr="0084510C">
        <w:t>.</w:t>
      </w:r>
      <w:r w:rsidRPr="0084510C">
        <w:tab/>
      </w:r>
      <w:r w:rsidR="000B2284">
        <w:t>Injuries</w:t>
      </w:r>
      <w:r>
        <w:t xml:space="preserve"> and Damages</w:t>
      </w:r>
      <w:bookmarkEnd w:id="8"/>
    </w:p>
    <w:p w:rsidR="000B2284" w:rsidRDefault="000B2284" w:rsidP="000B2284">
      <w:pPr>
        <w:pStyle w:val="Style12ptJustifiedLeft0Hanging05LinespacingD"/>
        <w:spacing w:before="240"/>
        <w:rPr>
          <w:b/>
        </w:rPr>
      </w:pPr>
      <w:r>
        <w:rPr>
          <w:b/>
        </w:rPr>
        <w:t>Q.</w:t>
      </w:r>
      <w:r>
        <w:rPr>
          <w:b/>
        </w:rPr>
        <w:tab/>
        <w:t>Did CenterPoint include amounts relating to injuries and damages expense in its request for rates in this docket?</w:t>
      </w:r>
    </w:p>
    <w:p w:rsidR="000B2284" w:rsidRDefault="000B2284" w:rsidP="000B2284">
      <w:pPr>
        <w:pStyle w:val="Style12ptJustifiedLeft0Hanging05LinespacingD"/>
      </w:pPr>
      <w:r>
        <w:t>A.</w:t>
      </w:r>
      <w:r>
        <w:tab/>
        <w:t>Yes.  The Co</w:t>
      </w:r>
      <w:r w:rsidR="00927CE4">
        <w:t xml:space="preserve">mpany included an amount of </w:t>
      </w:r>
      <w:r w:rsidR="00927CE4" w:rsidRPr="00A662FF">
        <w:t>$20.</w:t>
      </w:r>
      <w:r w:rsidRPr="00A662FF">
        <w:t>5</w:t>
      </w:r>
      <w:r w:rsidR="00927CE4" w:rsidRPr="00A662FF">
        <w:t>28 million</w:t>
      </w:r>
      <w:r>
        <w:t xml:space="preserve"> </w:t>
      </w:r>
      <w:r w:rsidR="00E22B3F">
        <w:t xml:space="preserve">(rounded) </w:t>
      </w:r>
      <w:r>
        <w:t>for injuries and damages in the annual rates in its request.</w:t>
      </w:r>
      <w:r w:rsidR="000D1320">
        <w:rPr>
          <w:rStyle w:val="FootnoteReference"/>
        </w:rPr>
        <w:footnoteReference w:id="24"/>
      </w:r>
    </w:p>
    <w:p w:rsidR="00422538" w:rsidRDefault="00422538" w:rsidP="000B2284">
      <w:pPr>
        <w:pStyle w:val="Style12ptJustifiedLeft0Hanging05LinespacingD"/>
        <w:spacing w:before="240"/>
        <w:rPr>
          <w:b/>
        </w:rPr>
      </w:pPr>
      <w:r>
        <w:rPr>
          <w:b/>
        </w:rPr>
        <w:t>Q.</w:t>
      </w:r>
      <w:r>
        <w:rPr>
          <w:b/>
        </w:rPr>
        <w:tab/>
        <w:t xml:space="preserve">What adjustment are you proposing to </w:t>
      </w:r>
      <w:r w:rsidR="000B2284">
        <w:rPr>
          <w:b/>
        </w:rPr>
        <w:t>CenterPoint’s requested annual amount for injuries and damages</w:t>
      </w:r>
      <w:r>
        <w:rPr>
          <w:b/>
        </w:rPr>
        <w:t>?</w:t>
      </w:r>
      <w:r w:rsidR="00D93365">
        <w:rPr>
          <w:b/>
        </w:rPr>
        <w:t xml:space="preserve"> </w:t>
      </w:r>
    </w:p>
    <w:p w:rsidR="000B2284" w:rsidRDefault="00D93365" w:rsidP="00422538">
      <w:pPr>
        <w:pStyle w:val="Style12ptJustifiedLeft0Hanging05LinespacingD"/>
      </w:pPr>
      <w:r>
        <w:t>A.</w:t>
      </w:r>
      <w:r>
        <w:tab/>
        <w:t xml:space="preserve">I </w:t>
      </w:r>
      <w:r w:rsidR="00422538">
        <w:t>propos</w:t>
      </w:r>
      <w:r>
        <w:t>e</w:t>
      </w:r>
      <w:r w:rsidR="00422538">
        <w:t xml:space="preserve"> an adjustment of ($</w:t>
      </w:r>
      <w:r w:rsidR="00A6576A">
        <w:t>2,293,936</w:t>
      </w:r>
      <w:r w:rsidR="00422538">
        <w:t xml:space="preserve">) to the Company’s </w:t>
      </w:r>
      <w:r w:rsidR="000B2284">
        <w:t>request for injuries and damages</w:t>
      </w:r>
      <w:r w:rsidR="00422538">
        <w:t xml:space="preserve">.  </w:t>
      </w:r>
      <w:r w:rsidR="000B2284">
        <w:t>I recommend this adjustment because CenterPoint’s requested annual amount for injuries and damages is unusually large when compared to CenterPoint’s previous years’ level of expense for injuries and damages.</w:t>
      </w:r>
    </w:p>
    <w:p w:rsidR="00487639" w:rsidRDefault="00487639" w:rsidP="00422538">
      <w:pPr>
        <w:pStyle w:val="Style12ptJustifiedLeft0Hanging05LinespacingD"/>
      </w:pPr>
    </w:p>
    <w:p w:rsidR="00487639" w:rsidRDefault="00487639" w:rsidP="00422538">
      <w:pPr>
        <w:pStyle w:val="Style12ptJustifiedLeft0Hanging05LinespacingD"/>
      </w:pPr>
    </w:p>
    <w:p w:rsidR="000B2284" w:rsidRDefault="000B2284" w:rsidP="000B2284">
      <w:pPr>
        <w:pStyle w:val="Style12ptJustifiedLeft0Hanging05LinespacingD"/>
        <w:spacing w:before="240"/>
        <w:rPr>
          <w:b/>
        </w:rPr>
      </w:pPr>
      <w:r>
        <w:rPr>
          <w:b/>
        </w:rPr>
        <w:t>Q.</w:t>
      </w:r>
      <w:r>
        <w:rPr>
          <w:b/>
        </w:rPr>
        <w:tab/>
        <w:t>Please explain.</w:t>
      </w:r>
    </w:p>
    <w:p w:rsidR="00B252B4" w:rsidRDefault="00B252B4" w:rsidP="000D1320">
      <w:pPr>
        <w:pStyle w:val="Style12ptJustifiedLeft0Hanging05LinespacingD"/>
      </w:pPr>
      <w:r>
        <w:t>A.</w:t>
      </w:r>
      <w:r>
        <w:tab/>
        <w:t>When compared with annual amounts for injuries and damages as reported on FERC Form 1 annually and filed on the record in Docket No. 35588,</w:t>
      </w:r>
      <w:r w:rsidR="00927CE4">
        <w:rPr>
          <w:rStyle w:val="FootnoteReference"/>
        </w:rPr>
        <w:footnoteReference w:id="25"/>
      </w:r>
      <w:r w:rsidR="001835CF">
        <w:t xml:space="preserve"> the test-</w:t>
      </w:r>
      <w:r>
        <w:t>year amount for injuries and damages, even after t</w:t>
      </w:r>
      <w:r w:rsidR="00F10C1E">
        <w:t>he known and measurable adjustm</w:t>
      </w:r>
      <w:r>
        <w:t>e</w:t>
      </w:r>
      <w:r w:rsidR="00F10C1E">
        <w:t>n</w:t>
      </w:r>
      <w:r w:rsidR="001F4800">
        <w:t>t, is</w:t>
      </w:r>
      <w:r>
        <w:t xml:space="preserve"> </w:t>
      </w:r>
      <w:r w:rsidR="001F4800">
        <w:t>greater than</w:t>
      </w:r>
      <w:r>
        <w:t xml:space="preserve"> CenterPoint’s annual average.  The FERC Forms 1 for CenterPoint show the following annual amounts for injuries and damages for each year since the end of the test year in CenterPoint’s last base rate proceeding:</w:t>
      </w:r>
    </w:p>
    <w:tbl>
      <w:tblPr>
        <w:tblStyle w:val="TableGrid"/>
        <w:tblW w:w="0" w:type="auto"/>
        <w:tblInd w:w="720" w:type="dxa"/>
        <w:tblLook w:val="04A0" w:firstRow="1" w:lastRow="0" w:firstColumn="1" w:lastColumn="0" w:noHBand="0" w:noVBand="1"/>
      </w:tblPr>
      <w:tblGrid>
        <w:gridCol w:w="4444"/>
        <w:gridCol w:w="4322"/>
      </w:tblGrid>
      <w:tr w:rsidR="000D1320" w:rsidTr="00B252B4">
        <w:tc>
          <w:tcPr>
            <w:tcW w:w="8766" w:type="dxa"/>
            <w:gridSpan w:val="2"/>
          </w:tcPr>
          <w:p w:rsidR="000D1320" w:rsidRPr="000D1320" w:rsidRDefault="000D1320" w:rsidP="00B252B4">
            <w:pPr>
              <w:pStyle w:val="Style12ptJustifiedLeft0Hanging05LinespacingD"/>
              <w:spacing w:line="360" w:lineRule="auto"/>
              <w:ind w:left="0" w:firstLine="0"/>
              <w:rPr>
                <w:b/>
              </w:rPr>
            </w:pPr>
            <w:r>
              <w:rPr>
                <w:b/>
              </w:rPr>
              <w:t>Table MF-3</w:t>
            </w:r>
          </w:p>
        </w:tc>
      </w:tr>
      <w:tr w:rsidR="00B252B4" w:rsidTr="00B252B4">
        <w:tc>
          <w:tcPr>
            <w:tcW w:w="8766" w:type="dxa"/>
            <w:gridSpan w:val="2"/>
          </w:tcPr>
          <w:p w:rsidR="00B252B4" w:rsidRDefault="00B252B4" w:rsidP="00B252B4">
            <w:pPr>
              <w:pStyle w:val="Style12ptJustifiedLeft0Hanging05LinespacingD"/>
              <w:spacing w:line="360" w:lineRule="auto"/>
              <w:ind w:left="0" w:firstLine="0"/>
            </w:pPr>
            <w:r>
              <w:t>CenterPoint’s Injuries and Damages on FERC Form 1</w:t>
            </w:r>
          </w:p>
        </w:tc>
      </w:tr>
      <w:tr w:rsidR="00E94E23" w:rsidTr="00B252B4">
        <w:tc>
          <w:tcPr>
            <w:tcW w:w="4444" w:type="dxa"/>
          </w:tcPr>
          <w:p w:rsidR="00E94E23" w:rsidRDefault="00E94E23" w:rsidP="00B252B4">
            <w:pPr>
              <w:pStyle w:val="Style12ptJustifiedLeft0Hanging05LinespacingD"/>
              <w:spacing w:line="360" w:lineRule="auto"/>
              <w:ind w:left="0" w:firstLine="0"/>
            </w:pPr>
            <w:r>
              <w:t>2009</w:t>
            </w:r>
          </w:p>
        </w:tc>
        <w:tc>
          <w:tcPr>
            <w:tcW w:w="4322" w:type="dxa"/>
          </w:tcPr>
          <w:p w:rsidR="00E94E23" w:rsidRDefault="00E94E23" w:rsidP="00B252B4">
            <w:pPr>
              <w:pStyle w:val="Style12ptJustifiedLeft0Hanging05LinespacingD"/>
              <w:spacing w:line="360" w:lineRule="auto"/>
              <w:ind w:left="0" w:firstLine="0"/>
            </w:pPr>
            <w:r>
              <w:t>$7,289,974</w:t>
            </w:r>
          </w:p>
        </w:tc>
      </w:tr>
      <w:tr w:rsidR="00B252B4" w:rsidTr="00B252B4">
        <w:tc>
          <w:tcPr>
            <w:tcW w:w="4444" w:type="dxa"/>
          </w:tcPr>
          <w:p w:rsidR="00B252B4" w:rsidRDefault="00B252B4" w:rsidP="00B252B4">
            <w:pPr>
              <w:pStyle w:val="Style12ptJustifiedLeft0Hanging05LinespacingD"/>
              <w:spacing w:line="360" w:lineRule="auto"/>
              <w:ind w:left="0" w:firstLine="0"/>
            </w:pPr>
            <w:r>
              <w:t>2010</w:t>
            </w:r>
          </w:p>
        </w:tc>
        <w:tc>
          <w:tcPr>
            <w:tcW w:w="4322" w:type="dxa"/>
          </w:tcPr>
          <w:p w:rsidR="00B252B4" w:rsidRDefault="00E94E23" w:rsidP="00B252B4">
            <w:pPr>
              <w:pStyle w:val="Style12ptJustifiedLeft0Hanging05LinespacingD"/>
              <w:spacing w:line="360" w:lineRule="auto"/>
              <w:ind w:left="0" w:firstLine="0"/>
            </w:pPr>
            <w:r>
              <w:t>$4,889,210</w:t>
            </w:r>
          </w:p>
        </w:tc>
      </w:tr>
      <w:tr w:rsidR="00B252B4" w:rsidTr="00B252B4">
        <w:tc>
          <w:tcPr>
            <w:tcW w:w="4444" w:type="dxa"/>
          </w:tcPr>
          <w:p w:rsidR="00B252B4" w:rsidRDefault="00B252B4" w:rsidP="00B252B4">
            <w:pPr>
              <w:pStyle w:val="Style12ptJustifiedLeft0Hanging05LinespacingD"/>
              <w:spacing w:line="360" w:lineRule="auto"/>
              <w:ind w:left="0" w:firstLine="0"/>
            </w:pPr>
            <w:r>
              <w:t>2011</w:t>
            </w:r>
          </w:p>
        </w:tc>
        <w:tc>
          <w:tcPr>
            <w:tcW w:w="4322" w:type="dxa"/>
          </w:tcPr>
          <w:p w:rsidR="00B252B4" w:rsidRDefault="00E94E23" w:rsidP="00B252B4">
            <w:pPr>
              <w:pStyle w:val="Style12ptJustifiedLeft0Hanging05LinespacingD"/>
              <w:spacing w:line="360" w:lineRule="auto"/>
              <w:ind w:left="0" w:firstLine="0"/>
            </w:pPr>
            <w:r>
              <w:t>$6,803,926</w:t>
            </w:r>
          </w:p>
        </w:tc>
      </w:tr>
      <w:tr w:rsidR="00B252B4" w:rsidTr="00B252B4">
        <w:tc>
          <w:tcPr>
            <w:tcW w:w="4444" w:type="dxa"/>
          </w:tcPr>
          <w:p w:rsidR="00B252B4" w:rsidRDefault="00B252B4" w:rsidP="00B252B4">
            <w:pPr>
              <w:pStyle w:val="Style12ptJustifiedLeft0Hanging05LinespacingD"/>
              <w:spacing w:line="360" w:lineRule="auto"/>
              <w:ind w:left="0" w:firstLine="0"/>
            </w:pPr>
            <w:r>
              <w:t>2012</w:t>
            </w:r>
          </w:p>
        </w:tc>
        <w:tc>
          <w:tcPr>
            <w:tcW w:w="4322" w:type="dxa"/>
          </w:tcPr>
          <w:p w:rsidR="00B252B4" w:rsidRDefault="00CD36D3" w:rsidP="00B252B4">
            <w:pPr>
              <w:pStyle w:val="Style12ptJustifiedLeft0Hanging05LinespacingD"/>
              <w:spacing w:line="360" w:lineRule="auto"/>
              <w:ind w:left="0" w:firstLine="0"/>
            </w:pPr>
            <w:r>
              <w:t>$7,502,018</w:t>
            </w:r>
          </w:p>
        </w:tc>
      </w:tr>
      <w:tr w:rsidR="00B252B4" w:rsidTr="00B252B4">
        <w:tc>
          <w:tcPr>
            <w:tcW w:w="4444" w:type="dxa"/>
          </w:tcPr>
          <w:p w:rsidR="00B252B4" w:rsidRDefault="00B252B4" w:rsidP="00B252B4">
            <w:pPr>
              <w:pStyle w:val="Style12ptJustifiedLeft0Hanging05LinespacingD"/>
              <w:spacing w:line="360" w:lineRule="auto"/>
              <w:ind w:left="0" w:firstLine="0"/>
            </w:pPr>
            <w:r>
              <w:t>2013</w:t>
            </w:r>
          </w:p>
        </w:tc>
        <w:tc>
          <w:tcPr>
            <w:tcW w:w="4322" w:type="dxa"/>
          </w:tcPr>
          <w:p w:rsidR="00B252B4" w:rsidRDefault="00CD36D3" w:rsidP="00B252B4">
            <w:pPr>
              <w:pStyle w:val="Style12ptJustifiedLeft0Hanging05LinespacingD"/>
              <w:spacing w:line="360" w:lineRule="auto"/>
              <w:ind w:left="0" w:firstLine="0"/>
            </w:pPr>
            <w:r>
              <w:t>$15,322,881</w:t>
            </w:r>
          </w:p>
        </w:tc>
      </w:tr>
      <w:tr w:rsidR="00B252B4" w:rsidTr="00B252B4">
        <w:tc>
          <w:tcPr>
            <w:tcW w:w="4444" w:type="dxa"/>
          </w:tcPr>
          <w:p w:rsidR="00B252B4" w:rsidRDefault="00B252B4" w:rsidP="00B252B4">
            <w:pPr>
              <w:pStyle w:val="Style12ptJustifiedLeft0Hanging05LinespacingD"/>
              <w:spacing w:line="360" w:lineRule="auto"/>
              <w:ind w:left="0" w:firstLine="0"/>
            </w:pPr>
            <w:r>
              <w:t>2014</w:t>
            </w:r>
          </w:p>
        </w:tc>
        <w:tc>
          <w:tcPr>
            <w:tcW w:w="4322" w:type="dxa"/>
          </w:tcPr>
          <w:p w:rsidR="00B252B4" w:rsidRDefault="00CD36D3" w:rsidP="00B252B4">
            <w:pPr>
              <w:pStyle w:val="Style12ptJustifiedLeft0Hanging05LinespacingD"/>
              <w:spacing w:line="360" w:lineRule="auto"/>
              <w:ind w:left="0" w:firstLine="0"/>
            </w:pPr>
            <w:r>
              <w:t>$18,549,983</w:t>
            </w:r>
          </w:p>
        </w:tc>
      </w:tr>
      <w:tr w:rsidR="00B252B4" w:rsidTr="00B252B4">
        <w:tc>
          <w:tcPr>
            <w:tcW w:w="4444" w:type="dxa"/>
          </w:tcPr>
          <w:p w:rsidR="00B252B4" w:rsidRDefault="00B252B4" w:rsidP="00B252B4">
            <w:pPr>
              <w:pStyle w:val="Style12ptJustifiedLeft0Hanging05LinespacingD"/>
              <w:spacing w:line="360" w:lineRule="auto"/>
              <w:ind w:left="0" w:firstLine="0"/>
            </w:pPr>
            <w:r>
              <w:t>2015</w:t>
            </w:r>
          </w:p>
        </w:tc>
        <w:tc>
          <w:tcPr>
            <w:tcW w:w="4322" w:type="dxa"/>
          </w:tcPr>
          <w:p w:rsidR="00B252B4" w:rsidRDefault="00CD36D3" w:rsidP="00B252B4">
            <w:pPr>
              <w:pStyle w:val="Style12ptJustifiedLeft0Hanging05LinespacingD"/>
              <w:spacing w:line="360" w:lineRule="auto"/>
              <w:ind w:left="0" w:firstLine="0"/>
            </w:pPr>
            <w:r>
              <w:t>$20,736,430</w:t>
            </w:r>
          </w:p>
        </w:tc>
      </w:tr>
      <w:tr w:rsidR="00B252B4" w:rsidTr="00B252B4">
        <w:tc>
          <w:tcPr>
            <w:tcW w:w="4444" w:type="dxa"/>
          </w:tcPr>
          <w:p w:rsidR="00B252B4" w:rsidRDefault="00B252B4" w:rsidP="00B252B4">
            <w:pPr>
              <w:pStyle w:val="Style12ptJustifiedLeft0Hanging05LinespacingD"/>
              <w:spacing w:line="360" w:lineRule="auto"/>
              <w:ind w:left="0" w:firstLine="0"/>
            </w:pPr>
            <w:r>
              <w:t>2016</w:t>
            </w:r>
          </w:p>
        </w:tc>
        <w:tc>
          <w:tcPr>
            <w:tcW w:w="4322" w:type="dxa"/>
          </w:tcPr>
          <w:p w:rsidR="00B252B4" w:rsidRDefault="00CD36D3" w:rsidP="00B252B4">
            <w:pPr>
              <w:pStyle w:val="Style12ptJustifiedLeft0Hanging05LinespacingD"/>
              <w:spacing w:line="360" w:lineRule="auto"/>
              <w:ind w:left="0" w:firstLine="0"/>
            </w:pPr>
            <w:r>
              <w:t>$12,088,202</w:t>
            </w:r>
          </w:p>
        </w:tc>
      </w:tr>
      <w:tr w:rsidR="00B252B4" w:rsidTr="00B252B4">
        <w:tc>
          <w:tcPr>
            <w:tcW w:w="4444" w:type="dxa"/>
          </w:tcPr>
          <w:p w:rsidR="00B252B4" w:rsidRDefault="00B252B4" w:rsidP="00B252B4">
            <w:pPr>
              <w:pStyle w:val="Style12ptJustifiedLeft0Hanging05LinespacingD"/>
              <w:spacing w:line="360" w:lineRule="auto"/>
              <w:ind w:left="0" w:firstLine="0"/>
            </w:pPr>
            <w:r>
              <w:t>2017</w:t>
            </w:r>
          </w:p>
        </w:tc>
        <w:tc>
          <w:tcPr>
            <w:tcW w:w="4322" w:type="dxa"/>
          </w:tcPr>
          <w:p w:rsidR="00B252B4" w:rsidRDefault="00CD36D3" w:rsidP="00B252B4">
            <w:pPr>
              <w:pStyle w:val="Style12ptJustifiedLeft0Hanging05LinespacingD"/>
              <w:spacing w:line="360" w:lineRule="auto"/>
              <w:ind w:left="0" w:firstLine="0"/>
            </w:pPr>
            <w:r>
              <w:t>$16,950,989</w:t>
            </w:r>
          </w:p>
        </w:tc>
      </w:tr>
      <w:tr w:rsidR="00B252B4" w:rsidTr="00B252B4">
        <w:tc>
          <w:tcPr>
            <w:tcW w:w="4444" w:type="dxa"/>
          </w:tcPr>
          <w:p w:rsidR="00B252B4" w:rsidRDefault="00B252B4" w:rsidP="00B252B4">
            <w:pPr>
              <w:pStyle w:val="Style12ptJustifiedLeft0Hanging05LinespacingD"/>
              <w:spacing w:line="360" w:lineRule="auto"/>
              <w:ind w:left="0" w:firstLine="0"/>
            </w:pPr>
            <w:r>
              <w:t>2018 (Test Year)</w:t>
            </w:r>
          </w:p>
        </w:tc>
        <w:tc>
          <w:tcPr>
            <w:tcW w:w="4322" w:type="dxa"/>
          </w:tcPr>
          <w:p w:rsidR="00B252B4" w:rsidRDefault="001877C8" w:rsidP="00B252B4">
            <w:pPr>
              <w:pStyle w:val="Style12ptJustifiedLeft0Hanging05LinespacingD"/>
              <w:spacing w:line="360" w:lineRule="auto"/>
              <w:ind w:left="0" w:firstLine="0"/>
            </w:pPr>
            <w:r>
              <w:t>$</w:t>
            </w:r>
            <w:r w:rsidR="00CD36D3">
              <w:t>22,844,718</w:t>
            </w:r>
          </w:p>
        </w:tc>
      </w:tr>
    </w:tbl>
    <w:p w:rsidR="000B2284" w:rsidRDefault="00B252B4" w:rsidP="00AB534B">
      <w:pPr>
        <w:pStyle w:val="Style12ptJustifiedLeft0Hanging05LinespacingD"/>
        <w:spacing w:before="120"/>
        <w:ind w:firstLine="0"/>
      </w:pPr>
      <w:r>
        <w:t>The data show that CenterPoint’s requested amount for injuries and damages represents an unusually large annual expenditure for injuries and damages, inconsistent with average annual amounts.</w:t>
      </w:r>
      <w:r w:rsidR="00F10C1E">
        <w:t xml:space="preserve">  The amount of injuries and damages expense incurred during the test year is </w:t>
      </w:r>
      <w:r w:rsidR="00D06FFA">
        <w:t xml:space="preserve">simply </w:t>
      </w:r>
      <w:r w:rsidR="00F10C1E">
        <w:t>not a recurring or normal level of this expense.</w:t>
      </w:r>
    </w:p>
    <w:p w:rsidR="0063570F" w:rsidRDefault="0063570F" w:rsidP="0063570F">
      <w:pPr>
        <w:pStyle w:val="Style12ptJustifiedLeft0Hanging05LinespacingD"/>
        <w:spacing w:before="240"/>
        <w:rPr>
          <w:b/>
        </w:rPr>
      </w:pPr>
      <w:r>
        <w:rPr>
          <w:b/>
        </w:rPr>
        <w:t>Q.</w:t>
      </w:r>
      <w:r>
        <w:rPr>
          <w:b/>
        </w:rPr>
        <w:tab/>
        <w:t>Is there further evidence that the</w:t>
      </w:r>
      <w:r w:rsidR="001835CF">
        <w:rPr>
          <w:b/>
        </w:rPr>
        <w:t xml:space="preserve"> test-</w:t>
      </w:r>
      <w:r>
        <w:rPr>
          <w:b/>
        </w:rPr>
        <w:t xml:space="preserve">year </w:t>
      </w:r>
      <w:r w:rsidR="00AF4D81">
        <w:rPr>
          <w:b/>
        </w:rPr>
        <w:t xml:space="preserve">amount </w:t>
      </w:r>
      <w:r>
        <w:rPr>
          <w:b/>
        </w:rPr>
        <w:t xml:space="preserve">is unusually large and </w:t>
      </w:r>
      <w:r w:rsidR="00AF4D81">
        <w:rPr>
          <w:b/>
        </w:rPr>
        <w:t xml:space="preserve">does </w:t>
      </w:r>
      <w:r>
        <w:rPr>
          <w:b/>
        </w:rPr>
        <w:t xml:space="preserve">not </w:t>
      </w:r>
      <w:r w:rsidR="00AF4D81">
        <w:rPr>
          <w:b/>
        </w:rPr>
        <w:t>represent</w:t>
      </w:r>
      <w:r>
        <w:rPr>
          <w:b/>
        </w:rPr>
        <w:t xml:space="preserve"> </w:t>
      </w:r>
      <w:r w:rsidR="00AF4D81">
        <w:rPr>
          <w:b/>
        </w:rPr>
        <w:t xml:space="preserve">an </w:t>
      </w:r>
      <w:r>
        <w:rPr>
          <w:b/>
        </w:rPr>
        <w:t>average annual amount?</w:t>
      </w:r>
    </w:p>
    <w:p w:rsidR="000B2284" w:rsidRDefault="0063570F" w:rsidP="0063570F">
      <w:pPr>
        <w:pStyle w:val="Style12ptJustifiedLeft0Hanging05LinespacingD"/>
      </w:pPr>
      <w:r>
        <w:t>A.</w:t>
      </w:r>
      <w:r>
        <w:tab/>
        <w:t>Yes.  In response to RFI No. Staff 9-06</w:t>
      </w:r>
      <w:r w:rsidR="000D1320">
        <w:t xml:space="preserve"> (included in </w:t>
      </w:r>
      <w:r w:rsidR="000D1320" w:rsidRPr="007555D7">
        <w:t>Attachment MF-13</w:t>
      </w:r>
      <w:r w:rsidR="000D1320">
        <w:t>)</w:t>
      </w:r>
      <w:r>
        <w:t>,</w:t>
      </w:r>
      <w:r w:rsidR="00DB585E">
        <w:rPr>
          <w:rStyle w:val="FootnoteReference"/>
        </w:rPr>
        <w:footnoteReference w:id="26"/>
      </w:r>
      <w:r>
        <w:t xml:space="preserve"> </w:t>
      </w:r>
      <w:r w:rsidR="00AF4D81">
        <w:t>CenterPoint provide</w:t>
      </w:r>
      <w:r w:rsidR="00F10C1E">
        <w:t>d</w:t>
      </w:r>
      <w:r w:rsidR="00AF4D81">
        <w:t xml:space="preserve"> data for </w:t>
      </w:r>
      <w:r w:rsidR="00A6576A">
        <w:t xml:space="preserve">FERC Account No. 925 (in total) for </w:t>
      </w:r>
      <w:r w:rsidR="00AF4D81">
        <w:t xml:space="preserve">2019 through the end of </w:t>
      </w:r>
      <w:r w:rsidR="00DB585E">
        <w:t>March</w:t>
      </w:r>
      <w:r w:rsidR="00AF4D81">
        <w:t xml:space="preserve">.  </w:t>
      </w:r>
      <w:r w:rsidR="00DB585E">
        <w:t>CenterPoint represented that it incurred $4,804,781.63 for FERC Account No. 925, Injuries and Damages, from January through March 2019.</w:t>
      </w:r>
      <w:r w:rsidR="00A6576A">
        <w:t xml:space="preserve">  In updating its response to this RFI, CenterPoint noted that the amount would be $6,200,353.69 for 2019 updated through April 30, 2019.</w:t>
      </w:r>
      <w:r w:rsidR="00A6576A">
        <w:rPr>
          <w:rStyle w:val="FootnoteReference"/>
        </w:rPr>
        <w:footnoteReference w:id="27"/>
      </w:r>
      <w:r w:rsidR="00A6576A">
        <w:t xml:space="preserve">   These</w:t>
      </w:r>
      <w:r w:rsidR="00DB585E">
        <w:t xml:space="preserve"> amount</w:t>
      </w:r>
      <w:r w:rsidR="00A6576A">
        <w:t>s</w:t>
      </w:r>
      <w:r w:rsidR="00DB585E">
        <w:t xml:space="preserve"> for </w:t>
      </w:r>
      <w:r w:rsidR="00A6576A">
        <w:t>the first</w:t>
      </w:r>
      <w:r w:rsidR="00DB585E">
        <w:t xml:space="preserve"> quarter </w:t>
      </w:r>
      <w:r w:rsidR="00A6576A">
        <w:t xml:space="preserve">and third </w:t>
      </w:r>
      <w:r w:rsidR="00DB585E">
        <w:t xml:space="preserve">of the current </w:t>
      </w:r>
      <w:r w:rsidR="00A6576A">
        <w:t>year further support</w:t>
      </w:r>
      <w:r w:rsidR="00DB585E">
        <w:t xml:space="preserve"> that my adjusted amount is more representative of an average year and that the test-year amount—even as reduced by the Company in its request—is too high and not representative of an average, annual amount.</w:t>
      </w:r>
    </w:p>
    <w:p w:rsidR="00F10C1E" w:rsidRDefault="00F10C1E" w:rsidP="00487639">
      <w:pPr>
        <w:pStyle w:val="Style12ptJustifiedLeft0Hanging05LinespacingD"/>
        <w:rPr>
          <w:b/>
        </w:rPr>
      </w:pPr>
      <w:r>
        <w:rPr>
          <w:b/>
        </w:rPr>
        <w:t>Q.</w:t>
      </w:r>
      <w:r>
        <w:rPr>
          <w:b/>
        </w:rPr>
        <w:tab/>
        <w:t>Is there Commission precedent for adjusting the annual amount for injuries and damages included in rates if the test-year amount is unusually high</w:t>
      </w:r>
      <w:r w:rsidRPr="0046137F">
        <w:rPr>
          <w:b/>
        </w:rPr>
        <w:t xml:space="preserve"> and not representative of an average year</w:t>
      </w:r>
      <w:r>
        <w:rPr>
          <w:b/>
        </w:rPr>
        <w:t>?</w:t>
      </w:r>
    </w:p>
    <w:p w:rsidR="00D06FFA" w:rsidRDefault="00F10C1E" w:rsidP="00D06FFA">
      <w:pPr>
        <w:pStyle w:val="Style12ptJustifiedLeft0Hanging05LinespacingD"/>
      </w:pPr>
      <w:r>
        <w:t>A.</w:t>
      </w:r>
      <w:r>
        <w:tab/>
      </w:r>
      <w:r w:rsidR="00D06FFA">
        <w:t>Yes.  The Commission made an adjustment to SWEPCO’s unusually high amount of litigation and damages expense in Docket Number 40443, finding:</w:t>
      </w:r>
    </w:p>
    <w:p w:rsidR="00D06FFA" w:rsidRPr="00193E18" w:rsidRDefault="00D06FFA" w:rsidP="00D06FFA">
      <w:pPr>
        <w:pStyle w:val="FOFNumbered"/>
        <w:numPr>
          <w:ilvl w:val="0"/>
          <w:numId w:val="0"/>
        </w:numPr>
        <w:spacing w:line="240" w:lineRule="auto"/>
        <w:ind w:left="1440" w:right="720"/>
        <w:rPr>
          <w:rFonts w:eastAsia="Calibri"/>
          <w:snapToGrid/>
        </w:rPr>
      </w:pPr>
      <w:r w:rsidRPr="00193E18">
        <w:rPr>
          <w:rFonts w:eastAsia="Calibri"/>
          <w:snapToGrid/>
        </w:rPr>
        <w:t>In the test year, SWEPCO incurred $4,540,265 as injuries and damages expense.</w:t>
      </w:r>
      <w:r>
        <w:rPr>
          <w:rFonts w:eastAsia="Calibri"/>
          <w:snapToGrid/>
        </w:rPr>
        <w:t xml:space="preserve"> </w:t>
      </w:r>
    </w:p>
    <w:p w:rsidR="00D06FFA" w:rsidRPr="00193E18" w:rsidRDefault="00D06FFA" w:rsidP="00D06FFA">
      <w:pPr>
        <w:pStyle w:val="FOFNumbered"/>
        <w:numPr>
          <w:ilvl w:val="0"/>
          <w:numId w:val="0"/>
        </w:numPr>
        <w:spacing w:line="240" w:lineRule="auto"/>
        <w:ind w:left="1440" w:right="720"/>
        <w:rPr>
          <w:rFonts w:eastAsia="Calibri"/>
          <w:snapToGrid/>
        </w:rPr>
      </w:pPr>
      <w:r w:rsidRPr="00193E18">
        <w:rPr>
          <w:rFonts w:eastAsia="Calibri"/>
          <w:snapToGrid/>
        </w:rPr>
        <w:t>The test-year amount was substantially in excess of the injuries and damages expenses incurred by SWEPCO in the three preceding years.</w:t>
      </w:r>
    </w:p>
    <w:p w:rsidR="0063570F" w:rsidRPr="000D1320" w:rsidRDefault="00D06FFA" w:rsidP="00D47F6F">
      <w:pPr>
        <w:pStyle w:val="FOFNumbered"/>
        <w:numPr>
          <w:ilvl w:val="0"/>
          <w:numId w:val="0"/>
        </w:numPr>
        <w:spacing w:after="120" w:line="240" w:lineRule="auto"/>
        <w:ind w:left="1440" w:right="720"/>
        <w:rPr>
          <w:rFonts w:eastAsia="Calibri"/>
          <w:snapToGrid/>
        </w:rPr>
      </w:pPr>
      <w:r w:rsidRPr="00193E18">
        <w:rPr>
          <w:rFonts w:eastAsia="Calibri"/>
          <w:snapToGrid/>
        </w:rPr>
        <w:t>It is reasonable to adjust the test-year amount by a $550,000 reduction, which is the amount the test year exceeds the average of the expense in the three previous years.</w:t>
      </w:r>
      <w:r>
        <w:rPr>
          <w:rStyle w:val="FootnoteReference"/>
          <w:rFonts w:eastAsia="Calibri"/>
          <w:snapToGrid/>
        </w:rPr>
        <w:footnoteReference w:id="28"/>
      </w:r>
      <w:r>
        <w:rPr>
          <w:rFonts w:eastAsia="Calibri"/>
          <w:snapToGrid/>
        </w:rPr>
        <w:t xml:space="preserve"> </w:t>
      </w:r>
    </w:p>
    <w:p w:rsidR="001F4800" w:rsidRDefault="001F4800" w:rsidP="001F4800">
      <w:pPr>
        <w:pStyle w:val="Style12ptJustifiedLeft0Hanging05LinespacingD"/>
      </w:pPr>
      <w:r>
        <w:tab/>
        <w:t>The Commission also made a similar adjustment to SWEPCO’s unusually high amount of litigation and damages expense in Docket No. 46449, finding:</w:t>
      </w:r>
    </w:p>
    <w:p w:rsidR="001F4800" w:rsidRPr="000D1320" w:rsidRDefault="001F4800" w:rsidP="00D47F6F">
      <w:pPr>
        <w:pStyle w:val="FOFNumbered"/>
        <w:numPr>
          <w:ilvl w:val="0"/>
          <w:numId w:val="0"/>
        </w:numPr>
        <w:spacing w:after="120" w:line="240" w:lineRule="auto"/>
        <w:ind w:left="1440" w:right="720"/>
        <w:rPr>
          <w:rFonts w:eastAsia="Calibri"/>
          <w:snapToGrid/>
        </w:rPr>
      </w:pPr>
      <w:r>
        <w:rPr>
          <w:rFonts w:eastAsia="Calibri"/>
          <w:snapToGrid/>
        </w:rPr>
        <w:t xml:space="preserve">It is reasonable to adjust the test-year amount by </w:t>
      </w:r>
      <w:proofErr w:type="gramStart"/>
      <w:r>
        <w:rPr>
          <w:rFonts w:eastAsia="Calibri"/>
          <w:snapToGrid/>
        </w:rPr>
        <w:t>a</w:t>
      </w:r>
      <w:proofErr w:type="gramEnd"/>
      <w:r>
        <w:rPr>
          <w:rFonts w:eastAsia="Calibri"/>
          <w:snapToGrid/>
        </w:rPr>
        <w:t xml:space="preserve"> $837,667 reduction, which is the amount the test-year litigation expense exceeds the average litigation expense in the three previous years</w:t>
      </w:r>
      <w:r w:rsidRPr="00193E18">
        <w:rPr>
          <w:rFonts w:eastAsia="Calibri"/>
          <w:snapToGrid/>
        </w:rPr>
        <w:t>.</w:t>
      </w:r>
      <w:r>
        <w:rPr>
          <w:rStyle w:val="FootnoteReference"/>
          <w:rFonts w:eastAsia="Calibri"/>
          <w:snapToGrid/>
        </w:rPr>
        <w:footnoteReference w:id="29"/>
      </w:r>
      <w:r>
        <w:rPr>
          <w:rFonts w:eastAsia="Calibri"/>
          <w:snapToGrid/>
        </w:rPr>
        <w:t xml:space="preserve"> </w:t>
      </w:r>
    </w:p>
    <w:p w:rsidR="0063570F" w:rsidRDefault="007263A0" w:rsidP="00422538">
      <w:pPr>
        <w:pStyle w:val="Style12ptJustifiedLeft0Hanging05LinespacingD"/>
      </w:pPr>
      <w:r>
        <w:tab/>
      </w:r>
      <w:r w:rsidR="001F4800">
        <w:t>Commission precedent allows for an adjustment to the amount of injuries and damages expense when the test-year amount of expense is unusually high.</w:t>
      </w:r>
    </w:p>
    <w:p w:rsidR="001F4800" w:rsidRDefault="001F4800" w:rsidP="00D93365">
      <w:pPr>
        <w:pStyle w:val="Style12ptJustifiedLeft0Hanging05LinespacingD"/>
        <w:rPr>
          <w:b/>
        </w:rPr>
      </w:pPr>
      <w:r>
        <w:rPr>
          <w:b/>
        </w:rPr>
        <w:t>Q.</w:t>
      </w:r>
      <w:r>
        <w:rPr>
          <w:b/>
        </w:rPr>
        <w:tab/>
        <w:t>How did you calculate your adjustment?</w:t>
      </w:r>
    </w:p>
    <w:p w:rsidR="007263A0" w:rsidRDefault="001F4800" w:rsidP="001F4800">
      <w:pPr>
        <w:pStyle w:val="Style12ptJustifiedLeft0Hanging05LinespacingD"/>
        <w:tabs>
          <w:tab w:val="left" w:pos="720"/>
          <w:tab w:val="left" w:pos="1440"/>
          <w:tab w:val="left" w:pos="2160"/>
          <w:tab w:val="left" w:pos="2880"/>
          <w:tab w:val="left" w:pos="3600"/>
          <w:tab w:val="left" w:pos="4320"/>
          <w:tab w:val="left" w:pos="5040"/>
          <w:tab w:val="left" w:pos="5760"/>
          <w:tab w:val="left" w:pos="6690"/>
        </w:tabs>
      </w:pPr>
      <w:r>
        <w:t>A.</w:t>
      </w:r>
      <w:r>
        <w:tab/>
        <w:t xml:space="preserve">I calculated my adjustment to CenterPoint’s request by computing the average for the last five years (a time period including the test year), and then making an adjustment so that the amount </w:t>
      </w:r>
      <w:r w:rsidR="000D1320">
        <w:t>re</w:t>
      </w:r>
      <w:r w:rsidR="00D93365">
        <w:t>commended</w:t>
      </w:r>
      <w:r w:rsidR="000D1320">
        <w:t xml:space="preserve"> </w:t>
      </w:r>
      <w:r>
        <w:t>in rates is equal to the average over the last five years.</w:t>
      </w:r>
      <w:r>
        <w:rPr>
          <w:rStyle w:val="FootnoteReference"/>
        </w:rPr>
        <w:footnoteReference w:id="30"/>
      </w:r>
    </w:p>
    <w:p w:rsidR="001F4800" w:rsidRDefault="001F4800" w:rsidP="00D93365">
      <w:pPr>
        <w:pStyle w:val="Style12ptJustifiedLeft0Hanging05LinespacingD"/>
        <w:rPr>
          <w:b/>
        </w:rPr>
      </w:pPr>
      <w:r>
        <w:rPr>
          <w:b/>
        </w:rPr>
        <w:t>Q.</w:t>
      </w:r>
      <w:r>
        <w:rPr>
          <w:b/>
        </w:rPr>
        <w:tab/>
        <w:t>Why did you use a five-year average, as opposed to the three- year average that the Commission used in the precedential dockets you cited earlier?</w:t>
      </w:r>
    </w:p>
    <w:p w:rsidR="001F4800" w:rsidRDefault="001F4800" w:rsidP="001F4800">
      <w:pPr>
        <w:pStyle w:val="Style12ptJustifiedLeft0Hanging05LinespacingD"/>
        <w:tabs>
          <w:tab w:val="left" w:pos="720"/>
          <w:tab w:val="left" w:pos="1440"/>
          <w:tab w:val="left" w:pos="2160"/>
          <w:tab w:val="left" w:pos="2880"/>
          <w:tab w:val="left" w:pos="3600"/>
          <w:tab w:val="left" w:pos="4320"/>
          <w:tab w:val="left" w:pos="5040"/>
          <w:tab w:val="left" w:pos="5760"/>
          <w:tab w:val="left" w:pos="6690"/>
        </w:tabs>
      </w:pPr>
      <w:r>
        <w:t>A.</w:t>
      </w:r>
      <w:r>
        <w:tab/>
        <w:t>I used a five-year average, rather than a th</w:t>
      </w:r>
      <w:r w:rsidR="000D1320">
        <w:t>ree-year average, in calcula</w:t>
      </w:r>
      <w:r>
        <w:t xml:space="preserve">ting my adjustment because the five-year period incorporates more data but is still a </w:t>
      </w:r>
      <w:r w:rsidR="00E5648F">
        <w:t>sufficiently</w:t>
      </w:r>
      <w:r>
        <w:t xml:space="preserve"> short period to reflect current </w:t>
      </w:r>
      <w:r w:rsidR="00E5648F">
        <w:t>conditions.</w:t>
      </w:r>
    </w:p>
    <w:p w:rsidR="00E5648F" w:rsidRDefault="00E5648F" w:rsidP="00D93365">
      <w:pPr>
        <w:pStyle w:val="Style12ptJustifiedLeft0Hanging05LinespacingD"/>
        <w:rPr>
          <w:b/>
        </w:rPr>
      </w:pPr>
      <w:r>
        <w:rPr>
          <w:b/>
        </w:rPr>
        <w:t>Q.</w:t>
      </w:r>
      <w:r>
        <w:rPr>
          <w:b/>
        </w:rPr>
        <w:tab/>
        <w:t xml:space="preserve">Would your </w:t>
      </w:r>
      <w:r w:rsidR="00E1226A">
        <w:rPr>
          <w:b/>
        </w:rPr>
        <w:t>reduction</w:t>
      </w:r>
      <w:r>
        <w:rPr>
          <w:b/>
        </w:rPr>
        <w:t xml:space="preserve"> have been greater or lesser if you had calculated based on a three-year average?</w:t>
      </w:r>
    </w:p>
    <w:p w:rsidR="00422538" w:rsidRPr="00E5648F" w:rsidRDefault="0046137F" w:rsidP="00E5648F">
      <w:pPr>
        <w:pStyle w:val="Style12ptJustifiedLeft0Hanging05LinespacingD"/>
        <w:tabs>
          <w:tab w:val="left" w:pos="720"/>
          <w:tab w:val="left" w:pos="1440"/>
          <w:tab w:val="left" w:pos="2160"/>
          <w:tab w:val="left" w:pos="2880"/>
          <w:tab w:val="left" w:pos="3600"/>
          <w:tab w:val="left" w:pos="4320"/>
          <w:tab w:val="left" w:pos="5040"/>
          <w:tab w:val="left" w:pos="5760"/>
          <w:tab w:val="left" w:pos="6690"/>
        </w:tabs>
      </w:pPr>
      <w:r>
        <w:t>A.</w:t>
      </w:r>
      <w:r>
        <w:tab/>
        <w:t>Had I used a three-</w:t>
      </w:r>
      <w:r w:rsidR="00E5648F">
        <w:t>year average, my adjustment would have been a greater reduction t</w:t>
      </w:r>
      <w:r w:rsidR="00FC0608">
        <w:t>o CenterPoint’s request.  As</w:t>
      </w:r>
      <w:r w:rsidR="00E5648F">
        <w:t xml:space="preserve"> see</w:t>
      </w:r>
      <w:r w:rsidR="00FC0608">
        <w:t>n in the T</w:t>
      </w:r>
      <w:r w:rsidR="00E5648F">
        <w:t xml:space="preserve">able </w:t>
      </w:r>
      <w:r w:rsidR="00FC0608">
        <w:t xml:space="preserve">MF-3 </w:t>
      </w:r>
      <w:r w:rsidR="00E5648F">
        <w:t>above, the amounts for FERC Account No. 925 were greater in years 2014 and 2015 than the three-year average of 2016 through 2</w:t>
      </w:r>
      <w:r w:rsidR="00E1226A">
        <w:t>018; accordingly, had I used a</w:t>
      </w:r>
      <w:r w:rsidR="00E5648F">
        <w:t xml:space="preserve"> three-year average, the total amount of average expense would have been less and the amount of reduction to CenterPoint’s request would have been greater.</w:t>
      </w:r>
    </w:p>
    <w:p w:rsidR="00B46866" w:rsidRPr="00D162BB" w:rsidRDefault="00B46866" w:rsidP="00FC0608">
      <w:pPr>
        <w:pStyle w:val="Heading2"/>
        <w:ind w:left="1440" w:firstLine="0"/>
      </w:pPr>
      <w:bookmarkStart w:id="9" w:name="_Toc11156113"/>
      <w:r>
        <w:t>D.</w:t>
      </w:r>
      <w:r>
        <w:tab/>
        <w:t xml:space="preserve">Known and Measurable Reduction in Force from </w:t>
      </w:r>
      <w:proofErr w:type="spellStart"/>
      <w:r>
        <w:t>Vectren</w:t>
      </w:r>
      <w:proofErr w:type="spellEnd"/>
      <w:r>
        <w:t xml:space="preserve"> Acquisition</w:t>
      </w:r>
      <w:bookmarkEnd w:id="9"/>
    </w:p>
    <w:p w:rsidR="00FC0608" w:rsidRPr="00A662FF" w:rsidRDefault="00FC0608" w:rsidP="00FC0608">
      <w:pPr>
        <w:pStyle w:val="Style12ptJustifiedLeft0Hanging05LinespacingD"/>
        <w:spacing w:before="240"/>
        <w:rPr>
          <w:b/>
        </w:rPr>
      </w:pPr>
      <w:r w:rsidRPr="00A662FF">
        <w:rPr>
          <w:b/>
        </w:rPr>
        <w:t>Q.</w:t>
      </w:r>
      <w:r w:rsidRPr="00A662FF">
        <w:rPr>
          <w:b/>
        </w:rPr>
        <w:tab/>
        <w:t xml:space="preserve">Please describe </w:t>
      </w:r>
      <w:r w:rsidR="0046137F" w:rsidRPr="00A662FF">
        <w:rPr>
          <w:b/>
        </w:rPr>
        <w:t>the</w:t>
      </w:r>
      <w:r w:rsidRPr="00A662FF">
        <w:rPr>
          <w:b/>
        </w:rPr>
        <w:t xml:space="preserve"> acquisition of </w:t>
      </w:r>
      <w:proofErr w:type="spellStart"/>
      <w:r w:rsidRPr="00A662FF">
        <w:rPr>
          <w:b/>
        </w:rPr>
        <w:t>Vectren</w:t>
      </w:r>
      <w:proofErr w:type="spellEnd"/>
      <w:r w:rsidRPr="00A662FF">
        <w:rPr>
          <w:b/>
        </w:rPr>
        <w:t>?</w:t>
      </w:r>
    </w:p>
    <w:p w:rsidR="00876526" w:rsidRPr="00A662FF" w:rsidRDefault="00FC0608" w:rsidP="00876526">
      <w:pPr>
        <w:pStyle w:val="Style12ptJustifiedLeft0Hanging05LinespacingD"/>
      </w:pPr>
      <w:r w:rsidRPr="00A662FF">
        <w:t>A.</w:t>
      </w:r>
      <w:r w:rsidRPr="00A662FF">
        <w:tab/>
      </w:r>
      <w:r w:rsidR="00876526" w:rsidRPr="00A662FF">
        <w:t xml:space="preserve">In his direct testimony, Company witness M. Shane </w:t>
      </w:r>
      <w:proofErr w:type="spellStart"/>
      <w:r w:rsidR="00876526" w:rsidRPr="00A662FF">
        <w:t>Kimzey</w:t>
      </w:r>
      <w:proofErr w:type="spellEnd"/>
      <w:r w:rsidR="00876526" w:rsidRPr="00A662FF">
        <w:t xml:space="preserve"> describes CenterPoint</w:t>
      </w:r>
      <w:r w:rsidR="0046137F" w:rsidRPr="00A662FF">
        <w:t xml:space="preserve"> Energy Inc.</w:t>
      </w:r>
      <w:r w:rsidR="00876526" w:rsidRPr="00A662FF">
        <w:t xml:space="preserve">’s </w:t>
      </w:r>
      <w:r w:rsidR="0046137F" w:rsidRPr="00A662FF">
        <w:t xml:space="preserve">(“CNP”) </w:t>
      </w:r>
      <w:r w:rsidR="00876526" w:rsidRPr="00A662FF">
        <w:t xml:space="preserve">acquisition of </w:t>
      </w:r>
      <w:proofErr w:type="spellStart"/>
      <w:r w:rsidR="00876526" w:rsidRPr="00A662FF">
        <w:t>Vectren</w:t>
      </w:r>
      <w:proofErr w:type="spellEnd"/>
      <w:r w:rsidR="00876526" w:rsidRPr="00A662FF">
        <w:t xml:space="preserve"> as follows:</w:t>
      </w:r>
    </w:p>
    <w:p w:rsidR="00FC0608" w:rsidRPr="00876526" w:rsidRDefault="00876526" w:rsidP="00AB534B">
      <w:pPr>
        <w:pStyle w:val="FOFNumbered"/>
        <w:numPr>
          <w:ilvl w:val="0"/>
          <w:numId w:val="0"/>
        </w:numPr>
        <w:spacing w:after="120" w:line="240" w:lineRule="auto"/>
        <w:ind w:left="1440" w:right="720"/>
        <w:rPr>
          <w:rFonts w:eastAsia="Calibri"/>
          <w:snapToGrid/>
        </w:rPr>
      </w:pPr>
      <w:r w:rsidRPr="00A662FF">
        <w:rPr>
          <w:rFonts w:eastAsia="Calibri"/>
          <w:snapToGrid/>
        </w:rPr>
        <w:t xml:space="preserve">In April 2018, CNP [CenterPoint Energy Inc.] entered into an agreement and plan of merger with </w:t>
      </w:r>
      <w:proofErr w:type="spellStart"/>
      <w:r w:rsidRPr="00A662FF">
        <w:rPr>
          <w:rFonts w:eastAsia="Calibri"/>
          <w:snapToGrid/>
        </w:rPr>
        <w:t>Vectren</w:t>
      </w:r>
      <w:proofErr w:type="spellEnd"/>
      <w:r w:rsidRPr="00A662FF">
        <w:rPr>
          <w:rFonts w:eastAsia="Calibri"/>
          <w:snapToGrid/>
        </w:rPr>
        <w:t xml:space="preserve">.  Following the satisfaction of various closing conditions, including federal and state regulatory approvals, the transaction closed on February 1, 2019.  Following the close of the transaction, </w:t>
      </w:r>
      <w:proofErr w:type="spellStart"/>
      <w:r w:rsidRPr="00A662FF">
        <w:rPr>
          <w:rFonts w:eastAsia="Calibri"/>
          <w:snapToGrid/>
        </w:rPr>
        <w:t>Vectren</w:t>
      </w:r>
      <w:proofErr w:type="spellEnd"/>
      <w:r w:rsidRPr="00A662FF">
        <w:rPr>
          <w:rFonts w:eastAsia="Calibri"/>
          <w:snapToGrid/>
        </w:rPr>
        <w:t xml:space="preserve"> became a wholly-owned subsidiary of CNP.</w:t>
      </w:r>
      <w:r>
        <w:rPr>
          <w:rStyle w:val="FootnoteReference"/>
          <w:rFonts w:eastAsia="Calibri"/>
          <w:snapToGrid/>
        </w:rPr>
        <w:footnoteReference w:id="31"/>
      </w:r>
      <w:r>
        <w:rPr>
          <w:rFonts w:eastAsia="Calibri"/>
          <w:snapToGrid/>
        </w:rPr>
        <w:t xml:space="preserve"> </w:t>
      </w:r>
    </w:p>
    <w:p w:rsidR="00B46866" w:rsidRDefault="00B46866" w:rsidP="00FC0608">
      <w:pPr>
        <w:pStyle w:val="Style12ptJustifiedLeft0Hanging05LinespacingD"/>
        <w:spacing w:before="240"/>
        <w:rPr>
          <w:b/>
        </w:rPr>
      </w:pPr>
      <w:r>
        <w:rPr>
          <w:b/>
        </w:rPr>
        <w:t>Q.</w:t>
      </w:r>
      <w:r>
        <w:rPr>
          <w:b/>
        </w:rPr>
        <w:tab/>
      </w:r>
      <w:r w:rsidR="001877C8">
        <w:rPr>
          <w:b/>
        </w:rPr>
        <w:t xml:space="preserve">Are there any amounts included in rates in CenterPoint’s request for employees who are no longer employed by the Company after </w:t>
      </w:r>
      <w:r w:rsidR="0046137F">
        <w:rPr>
          <w:b/>
        </w:rPr>
        <w:t>CNP</w:t>
      </w:r>
      <w:r w:rsidR="001877C8">
        <w:rPr>
          <w:b/>
        </w:rPr>
        <w:t xml:space="preserve">’s acquisition of </w:t>
      </w:r>
      <w:proofErr w:type="spellStart"/>
      <w:r w:rsidR="001877C8">
        <w:rPr>
          <w:b/>
        </w:rPr>
        <w:t>Vectren</w:t>
      </w:r>
      <w:proofErr w:type="spellEnd"/>
      <w:r w:rsidR="001877C8">
        <w:rPr>
          <w:b/>
        </w:rPr>
        <w:t>?</w:t>
      </w:r>
    </w:p>
    <w:p w:rsidR="00B46866" w:rsidRDefault="00B46866" w:rsidP="00B46866">
      <w:pPr>
        <w:pStyle w:val="Style12ptJustifiedLeft0Hanging05LinespacingD"/>
        <w:spacing w:before="120"/>
      </w:pPr>
      <w:r>
        <w:t>A.</w:t>
      </w:r>
      <w:r>
        <w:tab/>
      </w:r>
      <w:r w:rsidR="001877C8">
        <w:t xml:space="preserve">Yes.  </w:t>
      </w:r>
      <w:r w:rsidR="00763BCA">
        <w:t>As</w:t>
      </w:r>
      <w:r w:rsidR="000D1320">
        <w:t xml:space="preserve"> acknowledged in its response to </w:t>
      </w:r>
      <w:r w:rsidR="00763BCA">
        <w:t>RFI</w:t>
      </w:r>
      <w:r w:rsidR="0046137F">
        <w:t xml:space="preserve"> No. Staff 2-15</w:t>
      </w:r>
      <w:r w:rsidR="000D1320">
        <w:t xml:space="preserve"> (included in Attachment MF-14)</w:t>
      </w:r>
      <w:r w:rsidR="00763BCA">
        <w:t xml:space="preserve">, </w:t>
      </w:r>
      <w:r w:rsidR="001877C8">
        <w:t xml:space="preserve">CenterPoint </w:t>
      </w:r>
      <w:r w:rsidR="00763BCA">
        <w:t xml:space="preserve">identified 32 full-time equivalent (“FTE”) </w:t>
      </w:r>
      <w:r w:rsidR="00D93365">
        <w:t xml:space="preserve">positions </w:t>
      </w:r>
      <w:r w:rsidR="00763BCA">
        <w:t xml:space="preserve">that are no longer positions with CenterPoint because of the acquisition of </w:t>
      </w:r>
      <w:proofErr w:type="spellStart"/>
      <w:r w:rsidR="00763BCA">
        <w:t>Vectren</w:t>
      </w:r>
      <w:proofErr w:type="spellEnd"/>
      <w:r w:rsidR="00763BCA">
        <w:t>.</w:t>
      </w:r>
      <w:r w:rsidR="00763BCA">
        <w:rPr>
          <w:rStyle w:val="FootnoteReference"/>
        </w:rPr>
        <w:footnoteReference w:id="32"/>
      </w:r>
      <w:r w:rsidR="00763BCA">
        <w:t xml:space="preserve"> </w:t>
      </w:r>
      <w:r w:rsidR="00E96E0D">
        <w:t xml:space="preserve"> </w:t>
      </w:r>
      <w:r w:rsidR="0046137F">
        <w:t xml:space="preserve">In response to RFI No. Staff 7-02, </w:t>
      </w:r>
      <w:r w:rsidR="00DB5248">
        <w:t xml:space="preserve">CenterPoint provided the composition, by FERC account, of the total amount of $1,651,956.65 </w:t>
      </w:r>
      <w:r w:rsidR="00927CE4">
        <w:t>related</w:t>
      </w:r>
      <w:r w:rsidR="00DB5248">
        <w:t xml:space="preserve"> to these 32 employees whose positions were terminated after the closing of the </w:t>
      </w:r>
      <w:proofErr w:type="spellStart"/>
      <w:r w:rsidR="00DB5248">
        <w:t>Vectren</w:t>
      </w:r>
      <w:proofErr w:type="spellEnd"/>
      <w:r w:rsidR="00DB5248">
        <w:t xml:space="preserve"> Acquisition.</w:t>
      </w:r>
      <w:r w:rsidR="0046137F">
        <w:rPr>
          <w:rStyle w:val="FootnoteReference"/>
        </w:rPr>
        <w:footnoteReference w:id="33"/>
      </w:r>
    </w:p>
    <w:p w:rsidR="00487639" w:rsidRPr="00C72ED8" w:rsidRDefault="00487639" w:rsidP="00B46866">
      <w:pPr>
        <w:pStyle w:val="Style12ptJustifiedLeft0Hanging05LinespacingD"/>
        <w:spacing w:before="120"/>
      </w:pPr>
    </w:p>
    <w:p w:rsidR="008C1080" w:rsidRDefault="008C1080" w:rsidP="008C1080">
      <w:pPr>
        <w:pStyle w:val="Style12ptJustifiedLeft0Hanging05LinespacingD"/>
        <w:spacing w:before="240"/>
        <w:rPr>
          <w:b/>
        </w:rPr>
      </w:pPr>
      <w:r>
        <w:rPr>
          <w:b/>
        </w:rPr>
        <w:t>Q.</w:t>
      </w:r>
      <w:r>
        <w:rPr>
          <w:b/>
        </w:rPr>
        <w:tab/>
      </w:r>
      <w:r w:rsidR="00927CE4">
        <w:rPr>
          <w:b/>
        </w:rPr>
        <w:t>What is your recommendation regarding these amounts</w:t>
      </w:r>
      <w:r>
        <w:rPr>
          <w:b/>
        </w:rPr>
        <w:t>?</w:t>
      </w:r>
    </w:p>
    <w:p w:rsidR="00927CE4" w:rsidRDefault="008C1080" w:rsidP="00487639">
      <w:pPr>
        <w:pStyle w:val="Style12ptJustifiedLeft0Hanging05LinespacingD"/>
      </w:pPr>
      <w:r>
        <w:t>A.</w:t>
      </w:r>
      <w:r>
        <w:tab/>
      </w:r>
      <w:r w:rsidR="00927CE4">
        <w:t>I recommend removing these amounts from rates.  My adjustment uses the amounts and FERC accounts as laid out in the Company’s response to RFI</w:t>
      </w:r>
      <w:r w:rsidR="0046137F">
        <w:t xml:space="preserve"> No. 7-02</w:t>
      </w:r>
      <w:r w:rsidR="00927CE4">
        <w:t>.</w:t>
      </w:r>
      <w:r w:rsidR="00927CE4">
        <w:rPr>
          <w:rStyle w:val="FootnoteReference"/>
        </w:rPr>
        <w:footnoteReference w:id="34"/>
      </w:r>
    </w:p>
    <w:p w:rsidR="008C1080" w:rsidRDefault="00927CE4" w:rsidP="00487639">
      <w:pPr>
        <w:pStyle w:val="Style12ptJustifiedLeft0Hanging05LinespacingD"/>
        <w:ind w:firstLine="720"/>
      </w:pPr>
      <w:r>
        <w:t xml:space="preserve">CenterPoint </w:t>
      </w:r>
      <w:r w:rsidRPr="00A175BA">
        <w:t xml:space="preserve">has </w:t>
      </w:r>
      <w:r w:rsidR="00F43CB9" w:rsidRPr="00A175BA">
        <w:t>acknowledged that it terminated these 32 employees, and, consequently,</w:t>
      </w:r>
      <w:r>
        <w:t xml:space="preserve"> it will not incur the expenses associated with these 32 FTEs going forward</w:t>
      </w:r>
      <w:r w:rsidR="008C1080">
        <w:t>.</w:t>
      </w:r>
      <w:r>
        <w:t xml:space="preserve">  The </w:t>
      </w:r>
      <w:proofErr w:type="spellStart"/>
      <w:r>
        <w:t>Vectren</w:t>
      </w:r>
      <w:proofErr w:type="spellEnd"/>
      <w:r>
        <w:t xml:space="preserve"> acquisition closed within time that this should have been a known and measurable adjustment to the Company’s request in its Application.</w:t>
      </w:r>
      <w:r w:rsidR="008C1080">
        <w:t xml:space="preserve"> </w:t>
      </w:r>
    </w:p>
    <w:p w:rsidR="008C1080" w:rsidRDefault="008C1080" w:rsidP="008C1080">
      <w:pPr>
        <w:pStyle w:val="Style12ptJustifiedLeft0Hanging05LinespacingD"/>
        <w:spacing w:before="240"/>
        <w:rPr>
          <w:b/>
        </w:rPr>
      </w:pPr>
      <w:r>
        <w:t xml:space="preserve"> </w:t>
      </w:r>
      <w:r>
        <w:rPr>
          <w:b/>
        </w:rPr>
        <w:t>Q.</w:t>
      </w:r>
      <w:r>
        <w:rPr>
          <w:b/>
        </w:rPr>
        <w:tab/>
      </w:r>
      <w:r w:rsidR="00927CE4">
        <w:rPr>
          <w:b/>
        </w:rPr>
        <w:t xml:space="preserve">Does the existence of these amounts for the terminated 32 FTEs cause concern about other amounts relating to efficiency and cost savings achieved from the </w:t>
      </w:r>
      <w:proofErr w:type="spellStart"/>
      <w:r w:rsidR="00927CE4">
        <w:rPr>
          <w:b/>
        </w:rPr>
        <w:t>Vectren</w:t>
      </w:r>
      <w:proofErr w:type="spellEnd"/>
      <w:r w:rsidR="00927CE4">
        <w:rPr>
          <w:b/>
        </w:rPr>
        <w:t xml:space="preserve"> acquisition still being requested in rates</w:t>
      </w:r>
      <w:r>
        <w:rPr>
          <w:b/>
        </w:rPr>
        <w:t>?</w:t>
      </w:r>
    </w:p>
    <w:p w:rsidR="00422538" w:rsidRPr="00FC0608" w:rsidRDefault="008C1080" w:rsidP="00487639">
      <w:pPr>
        <w:spacing w:after="0" w:line="480" w:lineRule="auto"/>
        <w:ind w:left="720" w:hanging="720"/>
        <w:jc w:val="both"/>
      </w:pPr>
      <w:r>
        <w:t>A.</w:t>
      </w:r>
      <w:r>
        <w:tab/>
        <w:t>Yes.  The existence of this known and measurable adjustment to payroll</w:t>
      </w:r>
      <w:r w:rsidR="00E1226A">
        <w:t xml:space="preserve"> expense</w:t>
      </w:r>
      <w:r>
        <w:t xml:space="preserve"> that the Company should have made raises questions about how many other cost savings relating to the </w:t>
      </w:r>
      <w:proofErr w:type="spellStart"/>
      <w:r>
        <w:t>Vectren</w:t>
      </w:r>
      <w:proofErr w:type="spellEnd"/>
      <w:r>
        <w:t xml:space="preserve"> acquisition may still be present in CenterPoint’s reques</w:t>
      </w:r>
      <w:r w:rsidR="00A175BA">
        <w:t>t for rates in this proceeding.</w:t>
      </w:r>
      <w:r>
        <w:t xml:space="preserve"> </w:t>
      </w:r>
      <w:r w:rsidR="00FC0608">
        <w:t xml:space="preserve"> </w:t>
      </w:r>
      <w:r w:rsidR="00FC0608" w:rsidRPr="00A175BA">
        <w:t>Based on my review, I h</w:t>
      </w:r>
      <w:r w:rsidR="00AB534B" w:rsidRPr="00A175BA">
        <w:t>ave identified this single cost-</w:t>
      </w:r>
      <w:r w:rsidR="00FC0608" w:rsidRPr="00A175BA">
        <w:t>saving measure.  Other</w:t>
      </w:r>
      <w:r w:rsidR="00213B0B" w:rsidRPr="00A175BA">
        <w:t>s</w:t>
      </w:r>
      <w:r w:rsidR="00FC0608" w:rsidRPr="00A175BA">
        <w:t xml:space="preserve"> may exist, but I am unable to opine within this testimony.</w:t>
      </w:r>
    </w:p>
    <w:p w:rsidR="00422538" w:rsidRPr="00D162BB" w:rsidRDefault="00422538" w:rsidP="00FC0608">
      <w:pPr>
        <w:pStyle w:val="Heading2"/>
        <w:ind w:left="720"/>
      </w:pPr>
      <w:bookmarkStart w:id="10" w:name="_Toc11156114"/>
      <w:r>
        <w:t>E.</w:t>
      </w:r>
      <w:r>
        <w:tab/>
        <w:t>Affiliate Adjustments</w:t>
      </w:r>
      <w:r w:rsidR="00E5648F">
        <w:t xml:space="preserve"> – Carrying Charges on Shared Assets</w:t>
      </w:r>
      <w:bookmarkEnd w:id="10"/>
    </w:p>
    <w:p w:rsidR="00422538" w:rsidRDefault="00422538" w:rsidP="00422538">
      <w:pPr>
        <w:pStyle w:val="Style12ptJustifiedLeft0Hanging05LinespacingD"/>
        <w:spacing w:before="240"/>
        <w:rPr>
          <w:b/>
        </w:rPr>
      </w:pPr>
      <w:r>
        <w:rPr>
          <w:b/>
        </w:rPr>
        <w:t>Q.</w:t>
      </w:r>
      <w:r>
        <w:rPr>
          <w:b/>
        </w:rPr>
        <w:tab/>
        <w:t>What adjustments are you recommending related to CenterPoint’s requested affiliate expenses?</w:t>
      </w:r>
    </w:p>
    <w:p w:rsidR="00422538" w:rsidRDefault="00422538" w:rsidP="00A175BA">
      <w:pPr>
        <w:pStyle w:val="Style12ptJustifiedLeft0Hanging05LinespacingD"/>
      </w:pPr>
      <w:r>
        <w:t>A.</w:t>
      </w:r>
      <w:r>
        <w:tab/>
      </w:r>
      <w:r w:rsidR="00E5648F">
        <w:t>I propose an adjustment to CenterPoint’s requested amounts relating to affiliate exp</w:t>
      </w:r>
      <w:r w:rsidR="00FC0608">
        <w:t xml:space="preserve">enses, specifically associated with </w:t>
      </w:r>
      <w:r w:rsidR="00E5648F">
        <w:t>carrying charges on shared assets.</w:t>
      </w:r>
    </w:p>
    <w:p w:rsidR="00487639" w:rsidRPr="00C72ED8" w:rsidRDefault="00487639" w:rsidP="00A175BA">
      <w:pPr>
        <w:pStyle w:val="Style12ptJustifiedLeft0Hanging05LinespacingD"/>
      </w:pPr>
    </w:p>
    <w:p w:rsidR="00422538" w:rsidRDefault="00422538" w:rsidP="00A175BA">
      <w:pPr>
        <w:pStyle w:val="Style12ptJustifiedLeft0Hanging05LinespacingD"/>
        <w:rPr>
          <w:b/>
        </w:rPr>
      </w:pPr>
      <w:r>
        <w:rPr>
          <w:b/>
        </w:rPr>
        <w:t>Q.</w:t>
      </w:r>
      <w:r>
        <w:rPr>
          <w:b/>
        </w:rPr>
        <w:tab/>
        <w:t xml:space="preserve">What </w:t>
      </w:r>
      <w:r w:rsidR="00E5648F">
        <w:rPr>
          <w:b/>
        </w:rPr>
        <w:t>is the adjustment to carrying charges on shared assets that you propose</w:t>
      </w:r>
      <w:r>
        <w:rPr>
          <w:b/>
        </w:rPr>
        <w:t>?</w:t>
      </w:r>
    </w:p>
    <w:p w:rsidR="00422538" w:rsidRDefault="00E5648F" w:rsidP="00422538">
      <w:pPr>
        <w:pStyle w:val="FOFNumbered"/>
        <w:numPr>
          <w:ilvl w:val="0"/>
          <w:numId w:val="0"/>
        </w:numPr>
        <w:spacing w:line="480" w:lineRule="auto"/>
        <w:ind w:left="720" w:hanging="720"/>
      </w:pPr>
      <w:r>
        <w:t>A.</w:t>
      </w:r>
      <w:r>
        <w:tab/>
        <w:t>I propose</w:t>
      </w:r>
      <w:r w:rsidR="00422538">
        <w:t xml:space="preserve"> an adjustment of </w:t>
      </w:r>
      <w:r w:rsidR="00422538" w:rsidRPr="00AB47A7">
        <w:t>($</w:t>
      </w:r>
      <w:r w:rsidR="00422538">
        <w:t>4,942</w:t>
      </w:r>
      <w:r w:rsidR="00422538" w:rsidRPr="00AB47A7">
        <w:t>,</w:t>
      </w:r>
      <w:r w:rsidR="00422538">
        <w:t>320</w:t>
      </w:r>
      <w:r w:rsidR="00422538" w:rsidRPr="00AB47A7">
        <w:t>)</w:t>
      </w:r>
      <w:r w:rsidR="00422538">
        <w:t xml:space="preserve"> to remove the equity portion of carrying charges associated with affiliate or shared assets</w:t>
      </w:r>
      <w:r w:rsidR="00A175BA">
        <w:t>, as identified by CenterPoint in its response to RFI No. Staff 2-37 (included in Attachment MF-15)</w:t>
      </w:r>
      <w:r w:rsidR="00422538">
        <w:t>.</w:t>
      </w:r>
      <w:r w:rsidR="00422538">
        <w:rPr>
          <w:rStyle w:val="FootnoteReference"/>
        </w:rPr>
        <w:footnoteReference w:id="35"/>
      </w:r>
      <w:r w:rsidR="00422538">
        <w:t xml:space="preserve">  In Docket No</w:t>
      </w:r>
      <w:r w:rsidR="00B46866">
        <w:t>s</w:t>
      </w:r>
      <w:r w:rsidR="00422538">
        <w:t>. 43695</w:t>
      </w:r>
      <w:r w:rsidR="00B46866">
        <w:t xml:space="preserve"> and 46449</w:t>
      </w:r>
      <w:r w:rsidR="00422538">
        <w:t>,</w:t>
      </w:r>
      <w:r w:rsidR="00B46866">
        <w:t xml:space="preserve"> for example,</w:t>
      </w:r>
      <w:r w:rsidR="00422538">
        <w:t xml:space="preserve"> the Commission disallowed such carrying charges on affiliate assets, finding that such “carrying costs are unnecessary and unreasonable.”</w:t>
      </w:r>
      <w:r w:rsidR="00422538">
        <w:rPr>
          <w:rStyle w:val="FootnoteReference"/>
        </w:rPr>
        <w:footnoteReference w:id="36"/>
      </w:r>
      <w:r w:rsidR="00422538">
        <w:t xml:space="preserve"> </w:t>
      </w:r>
    </w:p>
    <w:p w:rsidR="00422538" w:rsidRPr="00045A92" w:rsidRDefault="00422538" w:rsidP="00422538">
      <w:pPr>
        <w:pStyle w:val="FOFNumbered"/>
        <w:numPr>
          <w:ilvl w:val="0"/>
          <w:numId w:val="0"/>
        </w:numPr>
        <w:spacing w:line="480" w:lineRule="auto"/>
        <w:ind w:left="720" w:firstLine="720"/>
      </w:pPr>
      <w:r>
        <w:t>My recommendation follows this Commission precedent.  Based on CenterPoi</w:t>
      </w:r>
      <w:r w:rsidR="00A175BA">
        <w:t xml:space="preserve">nt’s response to RFI No. Staff </w:t>
      </w:r>
      <w:r>
        <w:t>2-37, I remove a total of $4,492,320 of carrying charges on shared assets in the indicated FERC accounts.</w:t>
      </w:r>
      <w:r>
        <w:rPr>
          <w:rStyle w:val="FootnoteReference"/>
        </w:rPr>
        <w:footnoteReference w:id="37"/>
      </w:r>
      <w:r>
        <w:t xml:space="preserve"> </w:t>
      </w:r>
    </w:p>
    <w:p w:rsidR="00422538" w:rsidRDefault="00422538" w:rsidP="00A175BA">
      <w:pPr>
        <w:pStyle w:val="Style12ptJustifiedLeft0Hanging05LinespacingD"/>
        <w:rPr>
          <w:b/>
        </w:rPr>
      </w:pPr>
      <w:r>
        <w:rPr>
          <w:b/>
        </w:rPr>
        <w:t>Q.</w:t>
      </w:r>
      <w:r>
        <w:rPr>
          <w:b/>
        </w:rPr>
        <w:tab/>
        <w:t>Are there any differences between your recommendation and the previously mentioned precedent?</w:t>
      </w:r>
    </w:p>
    <w:p w:rsidR="00422538" w:rsidRDefault="00422538" w:rsidP="00B70F2A">
      <w:pPr>
        <w:spacing w:after="0" w:line="480" w:lineRule="auto"/>
        <w:ind w:left="720" w:hanging="720"/>
        <w:jc w:val="both"/>
        <w:rPr>
          <w:rFonts w:ascii="Times" w:eastAsia="Times New Roman" w:hAnsi="Times" w:cs="Times New Roman"/>
          <w:szCs w:val="20"/>
        </w:rPr>
      </w:pPr>
      <w:r>
        <w:t>A.</w:t>
      </w:r>
      <w:r>
        <w:tab/>
        <w:t xml:space="preserve">Yes.  In Docket Nos. 43695 and 46449, the Commission removed amounts relating to the equity portion of carrying charges on shared assets charged to the utility, but the Commission allowed the utility to net against this amount the equity portion of any charges </w:t>
      </w:r>
      <w:r w:rsidR="00460329">
        <w:t>that</w:t>
      </w:r>
      <w:r>
        <w:t xml:space="preserve"> the utility charged to its affiliates on shared assets.</w:t>
      </w:r>
      <w:r w:rsidR="00B46866">
        <w:rPr>
          <w:rStyle w:val="FootnoteReference"/>
        </w:rPr>
        <w:footnoteReference w:id="38"/>
      </w:r>
    </w:p>
    <w:p w:rsidR="00422538" w:rsidRDefault="00422538" w:rsidP="00A175BA">
      <w:pPr>
        <w:pStyle w:val="Style12ptJustifiedLeft0Hanging05LinespacingD"/>
        <w:rPr>
          <w:b/>
        </w:rPr>
      </w:pPr>
      <w:r>
        <w:rPr>
          <w:b/>
        </w:rPr>
        <w:t>Q.</w:t>
      </w:r>
      <w:r>
        <w:rPr>
          <w:b/>
        </w:rPr>
        <w:tab/>
        <w:t>Why didn’t you include the amounts, if any, that the Company may have received as carrying charges to its affiliates on shared assets?</w:t>
      </w:r>
    </w:p>
    <w:p w:rsidR="00A6292C" w:rsidRPr="00FC0608" w:rsidRDefault="00422538" w:rsidP="00B70F2A">
      <w:pPr>
        <w:spacing w:after="0" w:line="480" w:lineRule="auto"/>
        <w:ind w:left="720" w:hanging="720"/>
        <w:jc w:val="both"/>
        <w:rPr>
          <w:rFonts w:ascii="Times" w:eastAsia="Times New Roman" w:hAnsi="Times" w:cs="Times New Roman"/>
          <w:szCs w:val="20"/>
        </w:rPr>
      </w:pPr>
      <w:r>
        <w:t>A.</w:t>
      </w:r>
      <w:r>
        <w:tab/>
        <w:t xml:space="preserve">I didn’t include any such amounts because CenterPoint failed to provide such information on the record.  In </w:t>
      </w:r>
      <w:r w:rsidR="00FC0608">
        <w:t>Docket No. 46449, for example, S</w:t>
      </w:r>
      <w:r>
        <w:t>taff’s accounting recommendation netted the equity portion of the utility revenues from carrying charges on shared assets against the equity portion of the expenses from carrying charges on shared assets because the utility provided that information in response to an RFI.</w:t>
      </w:r>
      <w:r w:rsidR="00194DE4">
        <w:rPr>
          <w:rStyle w:val="FootnoteReference"/>
        </w:rPr>
        <w:footnoteReference w:id="39"/>
      </w:r>
      <w:r>
        <w:t xml:space="preserve">  When asked</w:t>
      </w:r>
      <w:r w:rsidR="00A175BA">
        <w:t xml:space="preserve"> a nearly</w:t>
      </w:r>
      <w:r>
        <w:t xml:space="preserve"> identical RFI in this docket, CenterPoint provided only information about the expenses relating to carrying charges on shared assets that CenterPoint included in its request for rates.  It is unclear what amount, if any, CenterPoint received from carrying charges on shared assets.</w:t>
      </w:r>
    </w:p>
    <w:p w:rsidR="00DB585E" w:rsidRPr="00D162BB" w:rsidRDefault="00DB585E" w:rsidP="00FC0608">
      <w:pPr>
        <w:pStyle w:val="Heading2"/>
        <w:ind w:left="720"/>
      </w:pPr>
      <w:bookmarkStart w:id="11" w:name="_Toc11156115"/>
      <w:r>
        <w:t>F.</w:t>
      </w:r>
      <w:r>
        <w:tab/>
      </w:r>
      <w:r w:rsidR="00077E8A">
        <w:t>Regulatory Asset for Texas Margin</w:t>
      </w:r>
      <w:r w:rsidR="00235238">
        <w:t>s</w:t>
      </w:r>
      <w:r w:rsidR="00077E8A">
        <w:t xml:space="preserve"> Tax</w:t>
      </w:r>
      <w:bookmarkEnd w:id="11"/>
    </w:p>
    <w:p w:rsidR="00DF3B07" w:rsidRDefault="00DF3B07" w:rsidP="00DF3B07">
      <w:pPr>
        <w:pStyle w:val="Style12ptJustifiedLeft0Hanging05LinespacingD"/>
        <w:spacing w:before="240"/>
        <w:rPr>
          <w:b/>
        </w:rPr>
      </w:pPr>
      <w:r>
        <w:rPr>
          <w:b/>
        </w:rPr>
        <w:t>Q.</w:t>
      </w:r>
      <w:r>
        <w:rPr>
          <w:b/>
        </w:rPr>
        <w:tab/>
      </w:r>
      <w:r w:rsidRPr="00DF3B07">
        <w:rPr>
          <w:b/>
        </w:rPr>
        <w:t>Please discuss CenterPoint’s request regarding its regulatory asset relate</w:t>
      </w:r>
      <w:r w:rsidR="00FC0608">
        <w:rPr>
          <w:b/>
        </w:rPr>
        <w:t>d to the Texas margins tax</w:t>
      </w:r>
      <w:r w:rsidRPr="00DF3B07">
        <w:rPr>
          <w:b/>
        </w:rPr>
        <w:t>.</w:t>
      </w:r>
    </w:p>
    <w:p w:rsidR="00487639" w:rsidRPr="00C72ED8" w:rsidRDefault="00DF3B07" w:rsidP="00487639">
      <w:pPr>
        <w:pStyle w:val="Style12ptJustifiedLeft0Hanging05LinespacingD"/>
        <w:spacing w:before="120"/>
      </w:pPr>
      <w:r>
        <w:t>A.</w:t>
      </w:r>
      <w:r>
        <w:tab/>
      </w:r>
      <w:r w:rsidRPr="00DF3B07">
        <w:t xml:space="preserve">As explained by </w:t>
      </w:r>
      <w:r>
        <w:t>Company witness</w:t>
      </w:r>
      <w:r w:rsidRPr="00DF3B07">
        <w:t xml:space="preserve"> Colvin, the Company currently books its Texas margins tax as a regulatory </w:t>
      </w:r>
      <w:r w:rsidR="00A259E3">
        <w:t>asset—rather than as an accrual—</w:t>
      </w:r>
      <w:r w:rsidRPr="00DF3B07">
        <w:t>and is proposing in this proceeding to change the method to include the accrual amounts in base rates.</w:t>
      </w:r>
      <w:r w:rsidRPr="00DF3B07">
        <w:rPr>
          <w:vertAlign w:val="superscript"/>
        </w:rPr>
        <w:footnoteReference w:id="40"/>
      </w:r>
      <w:r w:rsidRPr="00DF3B07">
        <w:t xml:space="preserve">  Ms. Colvin explains that this change respon</w:t>
      </w:r>
      <w:r w:rsidR="00A259E3">
        <w:t>ds</w:t>
      </w:r>
      <w:r w:rsidRPr="00DF3B07">
        <w:t xml:space="preserve"> to a request from Staff in the Company’s DCRF proceedings for it to calculate its Texas margins tax the same way as other utilities.</w:t>
      </w:r>
      <w:r w:rsidRPr="00DF3B07">
        <w:rPr>
          <w:vertAlign w:val="superscript"/>
        </w:rPr>
        <w:footnoteReference w:id="41"/>
      </w:r>
      <w:r w:rsidRPr="00DF3B07">
        <w:t xml:space="preserve"> </w:t>
      </w:r>
    </w:p>
    <w:p w:rsidR="00DF3B07" w:rsidRDefault="00DF3B07" w:rsidP="00487639">
      <w:pPr>
        <w:pStyle w:val="Style12ptJustifiedLeft0Hanging05LinespacingD"/>
        <w:rPr>
          <w:b/>
        </w:rPr>
      </w:pPr>
      <w:r>
        <w:rPr>
          <w:b/>
        </w:rPr>
        <w:t>Q.</w:t>
      </w:r>
      <w:r>
        <w:rPr>
          <w:b/>
        </w:rPr>
        <w:tab/>
      </w:r>
      <w:r w:rsidRPr="00DF3B07">
        <w:rPr>
          <w:b/>
        </w:rPr>
        <w:t xml:space="preserve">Did Staff request that the Company change its method of booking the Texas margins tax? </w:t>
      </w:r>
    </w:p>
    <w:p w:rsidR="00DF3B07" w:rsidRPr="00C72ED8" w:rsidRDefault="00DF3B07" w:rsidP="00487639">
      <w:pPr>
        <w:pStyle w:val="Style12ptJustifiedLeft0Hanging05LinespacingD"/>
      </w:pPr>
      <w:r>
        <w:t>A.</w:t>
      </w:r>
      <w:r>
        <w:tab/>
      </w:r>
      <w:r w:rsidRPr="00DF3B07">
        <w:t>Ms. Colvin is correct that</w:t>
      </w:r>
      <w:r w:rsidR="00A259E3">
        <w:t>, in previous dockets,</w:t>
      </w:r>
      <w:r w:rsidRPr="00DF3B07">
        <w:t xml:space="preserve"> Staff has previously expressed concerns with the way CenterPoint determines its Texas margins tax and its recording of a regulatory asset.  CenterPoint is the only utility I am aware of that records a regulatory asset related to the Texas margins tax</w:t>
      </w:r>
      <w:r>
        <w:t>.</w:t>
      </w:r>
    </w:p>
    <w:p w:rsidR="00DF3B07" w:rsidRDefault="00DF3B07" w:rsidP="00487639">
      <w:pPr>
        <w:pStyle w:val="Style12ptJustifiedLeft0Hanging05LinespacingD"/>
        <w:rPr>
          <w:b/>
        </w:rPr>
      </w:pPr>
      <w:r>
        <w:rPr>
          <w:b/>
        </w:rPr>
        <w:t>Q.</w:t>
      </w:r>
      <w:r>
        <w:rPr>
          <w:b/>
        </w:rPr>
        <w:tab/>
      </w:r>
      <w:r w:rsidRPr="00DF3B07">
        <w:rPr>
          <w:b/>
        </w:rPr>
        <w:t>What is CenterPoint’s basis for requesting a regulatory asset associated with the Texas margins tax?</w:t>
      </w:r>
    </w:p>
    <w:p w:rsidR="00DF3B07" w:rsidRPr="00C72ED8" w:rsidRDefault="00DF3B07" w:rsidP="00487639">
      <w:pPr>
        <w:pStyle w:val="Style12ptJustifiedLeft0Hanging05LinespacingD"/>
      </w:pPr>
      <w:r>
        <w:t>A.</w:t>
      </w:r>
      <w:r>
        <w:tab/>
      </w:r>
      <w:r w:rsidRPr="00DF3B07">
        <w:t>Ms. Colvin claims that the Commission approved the Company’s accounting practice in Docket No. 29526</w:t>
      </w:r>
      <w:r w:rsidRPr="00DF3B07">
        <w:rPr>
          <w:vertAlign w:val="superscript"/>
        </w:rPr>
        <w:footnoteReference w:id="42"/>
      </w:r>
      <w:r w:rsidRPr="00DF3B07">
        <w:t xml:space="preserve"> and</w:t>
      </w:r>
      <w:r w:rsidR="00A259E3">
        <w:t>,</w:t>
      </w:r>
      <w:r w:rsidRPr="00DF3B07">
        <w:t xml:space="preserve"> “</w:t>
      </w:r>
      <w:r w:rsidR="00A175BA">
        <w:t>[</w:t>
      </w:r>
      <w:r w:rsidRPr="00DF3B07">
        <w:t>b</w:t>
      </w:r>
      <w:r w:rsidR="00A175BA">
        <w:t>]</w:t>
      </w:r>
      <w:proofErr w:type="spellStart"/>
      <w:r w:rsidRPr="00DF3B07">
        <w:t>ecause</w:t>
      </w:r>
      <w:proofErr w:type="spellEnd"/>
      <w:r w:rsidRPr="00DF3B07">
        <w:t xml:space="preserve"> the Commission has previously approved the Company’s recovery of the regulatory asset related to TMT</w:t>
      </w:r>
      <w:r w:rsidR="000D1C5A">
        <w:t xml:space="preserve"> [Texas margins tax]</w:t>
      </w:r>
      <w:r w:rsidRPr="00DF3B07">
        <w:t>, the Company is requesting the same approval in this case, which will allow the Company to recover the regulatory asset.”</w:t>
      </w:r>
      <w:r w:rsidRPr="00DF3B07">
        <w:rPr>
          <w:vertAlign w:val="superscript"/>
        </w:rPr>
        <w:footnoteReference w:id="43"/>
      </w:r>
      <w:r w:rsidRPr="00DF3B07">
        <w:t xml:space="preserve">   Ms. Colvin notes that the Company is proposing to recover this requeste</w:t>
      </w:r>
      <w:r w:rsidR="000D1C5A">
        <w:t>d regulatory asset over a three-</w:t>
      </w:r>
      <w:r w:rsidRPr="00DF3B07">
        <w:t>year period through an amortization expense of $6.5 million annually.</w:t>
      </w:r>
      <w:r w:rsidRPr="00DF3B07">
        <w:rPr>
          <w:vertAlign w:val="superscript"/>
        </w:rPr>
        <w:footnoteReference w:id="44"/>
      </w:r>
      <w:r w:rsidRPr="00DF3B07">
        <w:t xml:space="preserve">  </w:t>
      </w:r>
    </w:p>
    <w:p w:rsidR="00DB585E" w:rsidRDefault="00DB585E" w:rsidP="00487639">
      <w:pPr>
        <w:pStyle w:val="Style12ptJustifiedLeft0Hanging05LinespacingD"/>
        <w:rPr>
          <w:b/>
        </w:rPr>
      </w:pPr>
      <w:r>
        <w:rPr>
          <w:b/>
        </w:rPr>
        <w:t>Q.</w:t>
      </w:r>
      <w:r>
        <w:rPr>
          <w:b/>
        </w:rPr>
        <w:tab/>
      </w:r>
      <w:r w:rsidR="00DF3B07" w:rsidRPr="00DF3B07">
        <w:rPr>
          <w:b/>
        </w:rPr>
        <w:t>Do you agree with Ms. Colvin that the Commission previously approved recovery of a regulatory asset associated with the Texas margins tax?</w:t>
      </w:r>
    </w:p>
    <w:p w:rsidR="009D774B" w:rsidRPr="009D774B" w:rsidRDefault="00DB585E" w:rsidP="00487639">
      <w:pPr>
        <w:pStyle w:val="Style12ptJustifiedLeft0Hanging05LinespacingD"/>
      </w:pPr>
      <w:r>
        <w:t>A.</w:t>
      </w:r>
      <w:r>
        <w:tab/>
      </w:r>
      <w:r w:rsidR="009D774B">
        <w:t>No;</w:t>
      </w:r>
      <w:r w:rsidR="009D774B" w:rsidRPr="009D774B">
        <w:t xml:space="preserve"> I do not.  Docket No. 29526 was a proceeding to determine the amount of generation stranded costs and true-up balances pursuant to PURA § 39.262. The Commission’s order in that case was issued on December 17, 2004.  As confirmed by the testimony of </w:t>
      </w:r>
      <w:r w:rsidR="00A259E3">
        <w:t>Company witness</w:t>
      </w:r>
      <w:r w:rsidR="009D774B" w:rsidRPr="009D774B">
        <w:t xml:space="preserve"> </w:t>
      </w:r>
      <w:r w:rsidR="00A259E3">
        <w:t xml:space="preserve">Charles W. </w:t>
      </w:r>
      <w:r w:rsidR="009D774B" w:rsidRPr="009D774B">
        <w:t>Pringle, the Texas margins tax became effective for tax reports due on or after January 1, 2008.</w:t>
      </w:r>
      <w:r w:rsidR="009D774B" w:rsidRPr="009D774B">
        <w:rPr>
          <w:vertAlign w:val="superscript"/>
        </w:rPr>
        <w:footnoteReference w:id="45"/>
      </w:r>
      <w:r w:rsidR="009D774B" w:rsidRPr="009D774B">
        <w:t xml:space="preserve">  Prior to that time</w:t>
      </w:r>
      <w:r w:rsidR="009D774B">
        <w:t>,</w:t>
      </w:r>
      <w:r w:rsidR="009D774B" w:rsidRPr="009D774B">
        <w:t xml:space="preserve"> entities paid a similar but different tax </w:t>
      </w:r>
      <w:r w:rsidR="00A259E3">
        <w:t>– namely,</w:t>
      </w:r>
      <w:r w:rsidR="009D774B" w:rsidRPr="009D774B">
        <w:t xml:space="preserve"> the state franchise tax.  The Commission could not have approved a regulatory asset for a tax that did not exist at the time of the order in Docket No. 29526.  In that case, based on how CenterPoint’s predecessor company accounted for the state fr</w:t>
      </w:r>
      <w:r w:rsidR="000D1C5A">
        <w:t xml:space="preserve">anchise </w:t>
      </w:r>
      <w:r w:rsidR="00A175BA">
        <w:t xml:space="preserve">tax </w:t>
      </w:r>
      <w:r w:rsidR="000D1C5A">
        <w:t xml:space="preserve">prior to deregulation, </w:t>
      </w:r>
      <w:r w:rsidR="009D774B" w:rsidRPr="009D774B">
        <w:t xml:space="preserve">the Commission approved recovery of a generation deferred debit related to state franchise taxes.  The Order on Rehearing in Docket No. 29526 did not approve any regulatory assets for the regulated </w:t>
      </w:r>
      <w:r w:rsidR="00A175BA">
        <w:t>transmission and distribution</w:t>
      </w:r>
      <w:r w:rsidR="009D774B" w:rsidRPr="009D774B">
        <w:t xml:space="preserve"> operations. </w:t>
      </w:r>
    </w:p>
    <w:p w:rsidR="00DB585E" w:rsidRDefault="009D774B" w:rsidP="009D774B">
      <w:pPr>
        <w:pStyle w:val="Style12ptJustifiedLeft0Hanging05LinespacingD"/>
        <w:spacing w:before="120"/>
        <w:ind w:firstLine="720"/>
      </w:pPr>
      <w:r w:rsidRPr="009D774B">
        <w:t>Furthermore, the Company did not request (and its rates did not include) a regulatory asset in rate base related to the Texas margins tax in its most recent base rate proceeding, Docket No. 38339</w:t>
      </w:r>
      <w:r w:rsidRPr="009D774B">
        <w:rPr>
          <w:vertAlign w:val="superscript"/>
        </w:rPr>
        <w:footnoteReference w:id="46"/>
      </w:r>
      <w:r w:rsidRPr="009D774B">
        <w:t xml:space="preserve"> (a case that was filed more than 5 years after the Commission’s order in Docket </w:t>
      </w:r>
      <w:r w:rsidR="00A175BA">
        <w:t xml:space="preserve">No. </w:t>
      </w:r>
      <w:r w:rsidRPr="009D774B">
        <w:t xml:space="preserve">29526).  </w:t>
      </w:r>
      <w:r w:rsidR="006C6683">
        <w:t xml:space="preserve">Attachment MF-16 contains schedules from Docket No. 38339 showing that CenterPoint did not request a regulatory asset relating to Texas margins tax in rate base in that proceeding.  </w:t>
      </w:r>
      <w:r w:rsidRPr="009D774B">
        <w:t>Neither the Docket No. 38339 Proposal for Decision nor the Order on Rehearing in that proceeding discuss approval of a regulatory as</w:t>
      </w:r>
      <w:r>
        <w:t>set related to the Texas margin</w:t>
      </w:r>
      <w:r w:rsidRPr="009D774B">
        <w:t xml:space="preserve">s tax. </w:t>
      </w:r>
    </w:p>
    <w:p w:rsidR="00A259E3" w:rsidRPr="00C72ED8" w:rsidRDefault="00A259E3" w:rsidP="00487639">
      <w:pPr>
        <w:pStyle w:val="Style12ptJustifiedLeft0Hanging05LinespacingD"/>
        <w:ind w:firstLine="720"/>
      </w:pPr>
      <w:r w:rsidRPr="00A175BA">
        <w:t xml:space="preserve">Finally, I again stress that Staff does not know of any other </w:t>
      </w:r>
      <w:r w:rsidR="006C6683">
        <w:t>utility</w:t>
      </w:r>
      <w:r w:rsidRPr="00A175BA">
        <w:t xml:space="preserve"> that recorded </w:t>
      </w:r>
      <w:r w:rsidR="000D1C5A" w:rsidRPr="00A175BA">
        <w:t>a regulatory</w:t>
      </w:r>
      <w:r w:rsidRPr="00A175BA">
        <w:t xml:space="preserve"> asset relating to</w:t>
      </w:r>
      <w:r w:rsidR="0046137F" w:rsidRPr="00A175BA">
        <w:t xml:space="preserve"> the treatment of</w:t>
      </w:r>
      <w:r w:rsidRPr="00A175BA">
        <w:t xml:space="preserve"> Texas margins tax based on the order in Docket No. 29526.</w:t>
      </w:r>
    </w:p>
    <w:p w:rsidR="00DF3B07" w:rsidRDefault="00DF3B07" w:rsidP="00487639">
      <w:pPr>
        <w:pStyle w:val="Style12ptJustifiedLeft0Hanging05LinespacingD"/>
        <w:rPr>
          <w:b/>
        </w:rPr>
      </w:pPr>
      <w:r>
        <w:rPr>
          <w:b/>
        </w:rPr>
        <w:t>Q.</w:t>
      </w:r>
      <w:r>
        <w:rPr>
          <w:b/>
        </w:rPr>
        <w:tab/>
      </w:r>
      <w:r w:rsidR="009D774B" w:rsidRPr="009D774B">
        <w:rPr>
          <w:b/>
        </w:rPr>
        <w:t>What adjustments are you proposing with respect to CenterPoint’s requested Texas margins tax regulatory asset?</w:t>
      </w:r>
    </w:p>
    <w:p w:rsidR="00DF3B07" w:rsidRDefault="00DF3B07" w:rsidP="00487639">
      <w:pPr>
        <w:pStyle w:val="Style12ptJustifiedLeft0Hanging05LinespacingD"/>
      </w:pPr>
      <w:r>
        <w:t>A.</w:t>
      </w:r>
      <w:r>
        <w:tab/>
      </w:r>
      <w:r w:rsidR="009D774B" w:rsidRPr="009D774B">
        <w:t>CenterPoint elected to account for the</w:t>
      </w:r>
      <w:r w:rsidR="000D1C5A">
        <w:t xml:space="preserve"> Texas</w:t>
      </w:r>
      <w:r w:rsidR="009D774B" w:rsidRPr="009D774B">
        <w:t xml:space="preserve"> margin</w:t>
      </w:r>
      <w:r w:rsidR="00235238">
        <w:t>s</w:t>
      </w:r>
      <w:r w:rsidR="009D774B" w:rsidRPr="009D774B">
        <w:t xml:space="preserve"> tax in the manner that it does</w:t>
      </w:r>
      <w:r w:rsidR="009D774B">
        <w:t>,</w:t>
      </w:r>
      <w:r w:rsidR="009D774B" w:rsidRPr="009D774B">
        <w:t xml:space="preserve"> and the fact that it uses a method that is different from other utilities does not mean that its ratepayers should </w:t>
      </w:r>
      <w:r w:rsidR="000D1C5A">
        <w:t xml:space="preserve">now </w:t>
      </w:r>
      <w:r w:rsidR="00A259E3">
        <w:t>pay</w:t>
      </w:r>
      <w:r w:rsidR="009D774B" w:rsidRPr="009D774B">
        <w:t xml:space="preserve"> an additional </w:t>
      </w:r>
      <w:r w:rsidR="009D774B" w:rsidRPr="0046137F">
        <w:t>$6.5 million</w:t>
      </w:r>
      <w:r w:rsidR="009D774B" w:rsidRPr="009D774B">
        <w:t xml:space="preserve"> annually in order for the Company to conform its accounting to that of the other Texas utilities.  In addition to the amortization of the regulatory asset, CenterPoint </w:t>
      </w:r>
      <w:r w:rsidR="0046137F" w:rsidRPr="006C6683">
        <w:t>further requests</w:t>
      </w:r>
      <w:r w:rsidR="009D774B" w:rsidRPr="009D774B">
        <w:t xml:space="preserve"> to include $19.6 million in rate base in order to earn a return on it.</w:t>
      </w:r>
      <w:r w:rsidR="009D774B" w:rsidRPr="009D774B">
        <w:rPr>
          <w:vertAlign w:val="superscript"/>
        </w:rPr>
        <w:footnoteReference w:id="47"/>
      </w:r>
      <w:r w:rsidR="009D774B" w:rsidRPr="009D774B">
        <w:t xml:space="preserve">  I recommend that the Texas margins tax regulatory asset requested by CenterPoint be excluded from rate base and that the requested amortization expense of $6.5 million </w:t>
      </w:r>
      <w:r w:rsidR="000D1C5A">
        <w:t xml:space="preserve">annually </w:t>
      </w:r>
      <w:r w:rsidR="009D774B" w:rsidRPr="009D774B">
        <w:t>be disallowed.</w:t>
      </w:r>
    </w:p>
    <w:p w:rsidR="006C6683" w:rsidRPr="00C72ED8" w:rsidRDefault="006C6683" w:rsidP="006C6683">
      <w:pPr>
        <w:pStyle w:val="Style12ptJustifiedLeft0Hanging05LinespacingD"/>
      </w:pPr>
      <w:r>
        <w:tab/>
      </w:r>
      <w:r>
        <w:tab/>
        <w:t>The Commission never ordered CenterPoint to book this regulatory asset, and, consequently, it should be removed both from rate base and from annual amortization expense.</w:t>
      </w:r>
    </w:p>
    <w:p w:rsidR="00077E8A" w:rsidRPr="00D162BB" w:rsidRDefault="00077E8A" w:rsidP="000D1C5A">
      <w:pPr>
        <w:pStyle w:val="Heading2"/>
        <w:ind w:left="720"/>
      </w:pPr>
      <w:bookmarkStart w:id="12" w:name="_Toc11156116"/>
      <w:r>
        <w:t>G.</w:t>
      </w:r>
      <w:r>
        <w:tab/>
        <w:t>Amortization of All Regulatory Assets and Liabilities</w:t>
      </w:r>
      <w:bookmarkEnd w:id="12"/>
    </w:p>
    <w:p w:rsidR="00077E8A" w:rsidRDefault="00077E8A" w:rsidP="00C910DD">
      <w:pPr>
        <w:pStyle w:val="Style12ptJustifiedLeft0Hanging05LinespacingD"/>
        <w:spacing w:before="240"/>
        <w:rPr>
          <w:b/>
        </w:rPr>
      </w:pPr>
      <w:r>
        <w:rPr>
          <w:b/>
        </w:rPr>
        <w:t>Q.</w:t>
      </w:r>
      <w:r>
        <w:rPr>
          <w:b/>
        </w:rPr>
        <w:tab/>
      </w:r>
      <w:r w:rsidR="00C910DD" w:rsidRPr="00C910DD">
        <w:rPr>
          <w:b/>
        </w:rPr>
        <w:t>What adjustments are you recommending related to CenterPoint’s proposed amounts for amortization of its requested regulatory assets and liabilities?</w:t>
      </w:r>
    </w:p>
    <w:p w:rsidR="00077E8A" w:rsidRDefault="00077E8A" w:rsidP="00C910DD">
      <w:pPr>
        <w:pStyle w:val="Style12ptJustifiedLeft0Hanging05LinespacingD"/>
        <w:spacing w:before="120"/>
      </w:pPr>
      <w:r>
        <w:t>A.</w:t>
      </w:r>
      <w:r>
        <w:tab/>
      </w:r>
      <w:r w:rsidR="00C910DD" w:rsidRPr="00C910DD">
        <w:t>Given that it has been eight years since the final order was issued in CenterPoint’s last comprehensive base rate case</w:t>
      </w:r>
      <w:r w:rsidR="00A259E3">
        <w:t xml:space="preserve"> </w:t>
      </w:r>
      <w:r w:rsidR="00A259E3" w:rsidRPr="0046137F">
        <w:t>(and nine years in between test-year ends)</w:t>
      </w:r>
      <w:r w:rsidR="00C910DD" w:rsidRPr="0046137F">
        <w:t>,</w:t>
      </w:r>
      <w:r w:rsidR="00C910DD" w:rsidRPr="00C910DD">
        <w:t xml:space="preserve"> I believe an amortization period of three years for regulatory assets and liabilities makes it likely that the Company will over-recover these items.  The provisions of 16 TAC § 25.247(b)(1)  should ensure that it will not be eight years until CenterPoint’s next base rate case, but the rule does provide for the Company to go at least four years (with the possibility of additional years) until it is required to file a case.  A more reasonable amortization period is five years.  This would provide</w:t>
      </w:r>
      <w:r w:rsidR="00A259E3">
        <w:t xml:space="preserve"> for the four-</w:t>
      </w:r>
      <w:r w:rsidR="00C910DD" w:rsidRPr="00C910DD">
        <w:t xml:space="preserve">year stay-out period plus an additional year for </w:t>
      </w:r>
      <w:r w:rsidR="00A259E3">
        <w:t xml:space="preserve">the </w:t>
      </w:r>
      <w:r w:rsidR="00C910DD" w:rsidRPr="00C910DD">
        <w:t>preparation, filing, and processing of a case before new rates would go into effect.</w:t>
      </w:r>
    </w:p>
    <w:p w:rsidR="00487639" w:rsidRPr="00C72ED8" w:rsidRDefault="00487639" w:rsidP="00C910DD">
      <w:pPr>
        <w:pStyle w:val="Style12ptJustifiedLeft0Hanging05LinespacingD"/>
        <w:spacing w:before="120"/>
      </w:pPr>
    </w:p>
    <w:p w:rsidR="009D774B" w:rsidRDefault="009D774B" w:rsidP="00235238">
      <w:pPr>
        <w:pStyle w:val="Style12ptJustifiedLeft0Hanging05LinespacingD"/>
        <w:rPr>
          <w:b/>
        </w:rPr>
      </w:pPr>
      <w:r>
        <w:rPr>
          <w:b/>
        </w:rPr>
        <w:t>Q.</w:t>
      </w:r>
      <w:r>
        <w:rPr>
          <w:b/>
        </w:rPr>
        <w:tab/>
      </w:r>
      <w:r w:rsidR="00C910DD" w:rsidRPr="00C910DD">
        <w:rPr>
          <w:b/>
        </w:rPr>
        <w:t>What is the impact of changing the amortization period from three to five years?</w:t>
      </w:r>
    </w:p>
    <w:p w:rsidR="00ED2922" w:rsidRPr="00697383" w:rsidRDefault="009D774B" w:rsidP="00ED2922">
      <w:pPr>
        <w:pStyle w:val="Style12ptJustifiedLeft0Hanging05LinespacingD"/>
        <w:spacing w:before="120"/>
      </w:pPr>
      <w:r>
        <w:t>A.</w:t>
      </w:r>
      <w:r>
        <w:tab/>
      </w:r>
      <w:r w:rsidR="00C910DD" w:rsidRPr="00BD5C97">
        <w:t>The impact is a reduction to amortization expense of $</w:t>
      </w:r>
      <w:r w:rsidR="00BD5C97" w:rsidRPr="00BD5C97">
        <w:t>1,044,184</w:t>
      </w:r>
      <w:r w:rsidR="000D1C5A" w:rsidRPr="00BD5C97">
        <w:t xml:space="preserve">, as shown Attachment MF-6, Staff’s </w:t>
      </w:r>
      <w:r w:rsidR="00BD5C97" w:rsidRPr="00BD5C97">
        <w:t>Regulatory Asset and Liability W</w:t>
      </w:r>
      <w:r w:rsidR="000D1C5A" w:rsidRPr="00BD5C97">
        <w:t>orksheet</w:t>
      </w:r>
      <w:r w:rsidR="00BD5C97" w:rsidRPr="00BD5C97">
        <w:t>; t</w:t>
      </w:r>
      <w:r w:rsidR="00F43CB9" w:rsidRPr="00BD5C97">
        <w:t>his is the amount to change the amortization period for all other regulatory assets and liabilities, after removing the regulatory assets relating to Texas margin</w:t>
      </w:r>
      <w:r w:rsidR="00505A43" w:rsidRPr="00BD5C97">
        <w:t>s tax as discussed above, from three</w:t>
      </w:r>
      <w:r w:rsidR="00F43CB9" w:rsidRPr="00BD5C97">
        <w:t xml:space="preserve"> years to five years.</w:t>
      </w:r>
      <w:r w:rsidR="00F43CB9" w:rsidRPr="00697383">
        <w:t xml:space="preserve"> </w:t>
      </w:r>
      <w:r w:rsidR="00BD5C97">
        <w:t xml:space="preserve"> </w:t>
      </w:r>
      <w:r w:rsidR="00BD5C97" w:rsidRPr="00235238">
        <w:t xml:space="preserve">(Attachment MF-6 also </w:t>
      </w:r>
      <w:r w:rsidR="00235238" w:rsidRPr="00235238">
        <w:t>calculate</w:t>
      </w:r>
      <w:r w:rsidR="00BD5C97" w:rsidRPr="00235238">
        <w:t xml:space="preserve">s the adjustment needed to amortize all regulatory assets and </w:t>
      </w:r>
      <w:r w:rsidR="00A662FF" w:rsidRPr="00235238">
        <w:t>liabilities</w:t>
      </w:r>
      <w:r w:rsidR="00BD5C97" w:rsidRPr="00235238">
        <w:t xml:space="preserve"> over a five-year period</w:t>
      </w:r>
      <w:r w:rsidR="006C6683" w:rsidRPr="00235238">
        <w:t>—an adjustment to reduce annual amortization expense by $3,661,194—</w:t>
      </w:r>
      <w:r w:rsidR="00BD5C97" w:rsidRPr="00235238">
        <w:t xml:space="preserve">if the Commission should </w:t>
      </w:r>
      <w:r w:rsidR="00A662FF" w:rsidRPr="00235238">
        <w:t xml:space="preserve">choose </w:t>
      </w:r>
      <w:r w:rsidR="00BD5C97" w:rsidRPr="00235238">
        <w:t xml:space="preserve">not </w:t>
      </w:r>
      <w:r w:rsidR="00A662FF" w:rsidRPr="00235238">
        <w:t xml:space="preserve">to </w:t>
      </w:r>
      <w:r w:rsidR="00BD5C97" w:rsidRPr="00235238">
        <w:t xml:space="preserve">adopt my recommendation </w:t>
      </w:r>
      <w:r w:rsidR="006C6683" w:rsidRPr="00235238">
        <w:t>removing the regulatory asset for Texas margins tax</w:t>
      </w:r>
      <w:r w:rsidR="00BD5C97" w:rsidRPr="00235238">
        <w:t>.)</w:t>
      </w:r>
    </w:p>
    <w:p w:rsidR="00F43CB9" w:rsidRPr="00697383" w:rsidRDefault="00F43CB9" w:rsidP="00235238">
      <w:pPr>
        <w:pStyle w:val="Style12ptJustifiedLeft0Hanging05LinespacingD"/>
        <w:rPr>
          <w:b/>
        </w:rPr>
      </w:pPr>
      <w:r w:rsidRPr="00697383">
        <w:rPr>
          <w:b/>
        </w:rPr>
        <w:t>Q.</w:t>
      </w:r>
      <w:r w:rsidRPr="00697383">
        <w:rPr>
          <w:b/>
        </w:rPr>
        <w:tab/>
        <w:t>Would it be equally reasonable and acceptable, from an accounting perspective, to remove certain regulatory assets and liabilities from base rates (</w:t>
      </w:r>
      <w:r w:rsidR="00697383" w:rsidRPr="00697383">
        <w:rPr>
          <w:b/>
        </w:rPr>
        <w:t xml:space="preserve">i.e. from </w:t>
      </w:r>
      <w:r w:rsidRPr="00697383">
        <w:rPr>
          <w:b/>
        </w:rPr>
        <w:t>both rate base and amortization expense) for recovery through separate riders?</w:t>
      </w:r>
    </w:p>
    <w:p w:rsidR="00F43CB9" w:rsidRPr="00F43CB9" w:rsidRDefault="00F43CB9" w:rsidP="00F43CB9">
      <w:pPr>
        <w:pStyle w:val="Style12ptJustifiedLeft0Hanging05LinespacingD"/>
        <w:spacing w:before="120"/>
        <w:rPr>
          <w:strike/>
        </w:rPr>
      </w:pPr>
      <w:r w:rsidRPr="00697383">
        <w:t>A.</w:t>
      </w:r>
      <w:r w:rsidRPr="00697383">
        <w:tab/>
        <w:t>Yes.  Recovery through separate riders would provide for recovery of an amount certain and would prevent over-recovery.</w:t>
      </w:r>
      <w:r w:rsidRPr="00C910DD">
        <w:t xml:space="preserve">  </w:t>
      </w:r>
    </w:p>
    <w:p w:rsidR="002A162B" w:rsidRPr="00C32578" w:rsidRDefault="002A162B" w:rsidP="00ED2922">
      <w:pPr>
        <w:pStyle w:val="Heading2"/>
        <w:overflowPunct w:val="0"/>
        <w:autoSpaceDE w:val="0"/>
        <w:autoSpaceDN w:val="0"/>
        <w:adjustRightInd w:val="0"/>
        <w:spacing w:after="60" w:line="480" w:lineRule="auto"/>
        <w:ind w:left="720" w:right="0"/>
        <w:jc w:val="left"/>
        <w:textAlignment w:val="baseline"/>
      </w:pPr>
      <w:bookmarkStart w:id="13" w:name="_Toc11156117"/>
      <w:r>
        <w:t>H.</w:t>
      </w:r>
      <w:r>
        <w:tab/>
      </w:r>
      <w:r w:rsidRPr="00C32578">
        <w:t>Adjustments Recommended by Other Staff Witnesses</w:t>
      </w:r>
      <w:bookmarkEnd w:id="13"/>
    </w:p>
    <w:p w:rsidR="002A162B" w:rsidRPr="00C32578" w:rsidRDefault="002A162B" w:rsidP="002A162B">
      <w:pPr>
        <w:spacing w:line="480" w:lineRule="auto"/>
        <w:ind w:left="720" w:hanging="720"/>
        <w:rPr>
          <w:b/>
          <w:szCs w:val="24"/>
        </w:rPr>
      </w:pPr>
      <w:r w:rsidRPr="00C32578">
        <w:rPr>
          <w:b/>
          <w:szCs w:val="24"/>
        </w:rPr>
        <w:t>Q.</w:t>
      </w:r>
      <w:r w:rsidRPr="00C32578">
        <w:rPr>
          <w:b/>
          <w:szCs w:val="24"/>
        </w:rPr>
        <w:tab/>
        <w:t>Do</w:t>
      </w:r>
      <w:r w:rsidR="005827AB">
        <w:rPr>
          <w:b/>
          <w:szCs w:val="24"/>
        </w:rPr>
        <w:t>es your calculated</w:t>
      </w:r>
      <w:r w:rsidRPr="00C32578">
        <w:rPr>
          <w:b/>
          <w:szCs w:val="24"/>
        </w:rPr>
        <w:t xml:space="preserve"> revenue requirement reflect the adjustments of other Staff witnesses?</w:t>
      </w:r>
    </w:p>
    <w:p w:rsidR="002A162B" w:rsidRPr="00C32578" w:rsidRDefault="002A162B" w:rsidP="002A162B">
      <w:pPr>
        <w:spacing w:line="480" w:lineRule="auto"/>
        <w:ind w:left="720" w:hanging="720"/>
        <w:jc w:val="both"/>
        <w:rPr>
          <w:szCs w:val="24"/>
        </w:rPr>
      </w:pPr>
      <w:r w:rsidRPr="00C32578">
        <w:rPr>
          <w:szCs w:val="24"/>
        </w:rPr>
        <w:t>A.</w:t>
      </w:r>
      <w:r w:rsidRPr="00C32578">
        <w:rPr>
          <w:szCs w:val="24"/>
        </w:rPr>
        <w:tab/>
        <w:t xml:space="preserve">Yes; it does.  Staff witnesses Blake Ianni and Tom Sweatman recommend adjustments to </w:t>
      </w:r>
      <w:r>
        <w:rPr>
          <w:szCs w:val="24"/>
        </w:rPr>
        <w:t>CenterPoint</w:t>
      </w:r>
      <w:r w:rsidR="00235238">
        <w:rPr>
          <w:szCs w:val="24"/>
        </w:rPr>
        <w:t>’s test-</w:t>
      </w:r>
      <w:r w:rsidRPr="00C32578">
        <w:rPr>
          <w:szCs w:val="24"/>
        </w:rPr>
        <w:t>year end level of invested capital</w:t>
      </w:r>
      <w:r w:rsidR="002F6038">
        <w:rPr>
          <w:szCs w:val="24"/>
        </w:rPr>
        <w:t>,</w:t>
      </w:r>
      <w:r w:rsidRPr="00C32578">
        <w:rPr>
          <w:szCs w:val="24"/>
        </w:rPr>
        <w:t xml:space="preserve"> and </w:t>
      </w:r>
      <w:r w:rsidR="002F6038">
        <w:rPr>
          <w:szCs w:val="24"/>
        </w:rPr>
        <w:t xml:space="preserve">Mr. Ianni recommends adjustments to CenterPoint’s </w:t>
      </w:r>
      <w:r w:rsidRPr="00C32578">
        <w:rPr>
          <w:szCs w:val="24"/>
        </w:rPr>
        <w:t xml:space="preserve">requested operations and maintenance expenses.  Staff’s recommended revenue requirement reflects the rate of return (as well as individual component costs of capital) as recommended by Staff witness Jorge Ordonez.  </w:t>
      </w:r>
      <w:r w:rsidRPr="00697383">
        <w:rPr>
          <w:szCs w:val="24"/>
        </w:rPr>
        <w:t xml:space="preserve">When calculating flow-through effects on depreciation amounts, I use the depreciation amounts provided </w:t>
      </w:r>
      <w:r w:rsidR="00ED2922" w:rsidRPr="00697383">
        <w:rPr>
          <w:szCs w:val="24"/>
        </w:rPr>
        <w:t xml:space="preserve">to me </w:t>
      </w:r>
      <w:r w:rsidRPr="00697383">
        <w:rPr>
          <w:szCs w:val="24"/>
        </w:rPr>
        <w:t xml:space="preserve">by </w:t>
      </w:r>
      <w:r w:rsidR="00A259E3" w:rsidRPr="00697383">
        <w:rPr>
          <w:szCs w:val="24"/>
        </w:rPr>
        <w:t xml:space="preserve">Staff witness </w:t>
      </w:r>
      <w:r w:rsidRPr="00697383">
        <w:rPr>
          <w:szCs w:val="24"/>
        </w:rPr>
        <w:t xml:space="preserve">Reginald </w:t>
      </w:r>
      <w:proofErr w:type="spellStart"/>
      <w:r w:rsidRPr="00697383">
        <w:rPr>
          <w:szCs w:val="24"/>
        </w:rPr>
        <w:t>Tuvilla’s</w:t>
      </w:r>
      <w:proofErr w:type="spellEnd"/>
      <w:r w:rsidRPr="00697383">
        <w:rPr>
          <w:szCs w:val="24"/>
        </w:rPr>
        <w:t xml:space="preserve">, staff’s expert on depreciation in this proceeding.  These are the same </w:t>
      </w:r>
      <w:r w:rsidR="00697383">
        <w:rPr>
          <w:szCs w:val="24"/>
        </w:rPr>
        <w:t xml:space="preserve">depreciation </w:t>
      </w:r>
      <w:r w:rsidRPr="00697383">
        <w:rPr>
          <w:szCs w:val="24"/>
        </w:rPr>
        <w:t>rates included in the Company’s request.</w:t>
      </w:r>
    </w:p>
    <w:p w:rsidR="00032355" w:rsidRPr="00ED2922" w:rsidRDefault="002A162B" w:rsidP="00ED2922">
      <w:pPr>
        <w:spacing w:line="480" w:lineRule="auto"/>
        <w:ind w:left="720" w:hanging="720"/>
        <w:jc w:val="both"/>
        <w:rPr>
          <w:szCs w:val="24"/>
        </w:rPr>
      </w:pPr>
      <w:r w:rsidRPr="00C32578">
        <w:rPr>
          <w:szCs w:val="24"/>
        </w:rPr>
        <w:t xml:space="preserve"> </w:t>
      </w:r>
      <w:r w:rsidRPr="00C32578">
        <w:rPr>
          <w:szCs w:val="24"/>
        </w:rPr>
        <w:tab/>
      </w:r>
      <w:r w:rsidRPr="00C32578">
        <w:rPr>
          <w:szCs w:val="24"/>
        </w:rPr>
        <w:tab/>
        <w:t>Plea</w:t>
      </w:r>
      <w:r w:rsidR="00ED2922">
        <w:rPr>
          <w:szCs w:val="24"/>
        </w:rPr>
        <w:t>se refer to the testimonies of other</w:t>
      </w:r>
      <w:r w:rsidRPr="00C32578">
        <w:rPr>
          <w:szCs w:val="24"/>
        </w:rPr>
        <w:t xml:space="preserve"> witness</w:t>
      </w:r>
      <w:r w:rsidR="00ED2922">
        <w:rPr>
          <w:szCs w:val="24"/>
        </w:rPr>
        <w:t>es</w:t>
      </w:r>
      <w:r w:rsidRPr="00C32578">
        <w:rPr>
          <w:szCs w:val="24"/>
        </w:rPr>
        <w:t xml:space="preserve"> for further details and explanations</w:t>
      </w:r>
      <w:r w:rsidR="00ED2922">
        <w:rPr>
          <w:szCs w:val="24"/>
        </w:rPr>
        <w:t xml:space="preserve"> regarding their</w:t>
      </w:r>
      <w:r w:rsidR="00C60154">
        <w:rPr>
          <w:szCs w:val="24"/>
        </w:rPr>
        <w:t xml:space="preserve"> recommendations.</w:t>
      </w:r>
    </w:p>
    <w:p w:rsidR="00032355" w:rsidRPr="00032355" w:rsidRDefault="00032355" w:rsidP="00ED2922">
      <w:pPr>
        <w:pStyle w:val="Heading2"/>
        <w:spacing w:line="480" w:lineRule="auto"/>
        <w:ind w:left="720"/>
      </w:pPr>
      <w:bookmarkStart w:id="14" w:name="_Toc11156118"/>
      <w:r w:rsidRPr="00032355">
        <w:t>I.</w:t>
      </w:r>
      <w:r w:rsidRPr="00032355">
        <w:tab/>
      </w:r>
      <w:r w:rsidRPr="00032355">
        <w:rPr>
          <w:i/>
        </w:rPr>
        <w:t>Ad Valorem</w:t>
      </w:r>
      <w:r w:rsidRPr="00032355">
        <w:t xml:space="preserve"> Taxes</w:t>
      </w:r>
      <w:bookmarkEnd w:id="14"/>
    </w:p>
    <w:p w:rsidR="00032355" w:rsidRPr="00032355" w:rsidRDefault="00032355" w:rsidP="00032355">
      <w:pPr>
        <w:spacing w:line="480" w:lineRule="auto"/>
        <w:ind w:left="720" w:hanging="720"/>
        <w:rPr>
          <w:b/>
          <w:szCs w:val="24"/>
        </w:rPr>
      </w:pPr>
      <w:r w:rsidRPr="00032355">
        <w:rPr>
          <w:b/>
          <w:szCs w:val="24"/>
        </w:rPr>
        <w:t>Q.</w:t>
      </w:r>
      <w:r w:rsidRPr="00032355">
        <w:rPr>
          <w:b/>
          <w:szCs w:val="24"/>
        </w:rPr>
        <w:tab/>
        <w:t xml:space="preserve">What adjustment are you proposing to </w:t>
      </w:r>
      <w:r>
        <w:rPr>
          <w:b/>
          <w:szCs w:val="24"/>
        </w:rPr>
        <w:t>CenterPoint</w:t>
      </w:r>
      <w:r w:rsidRPr="00032355">
        <w:rPr>
          <w:b/>
          <w:szCs w:val="24"/>
        </w:rPr>
        <w:t xml:space="preserve">’s requested </w:t>
      </w:r>
      <w:r w:rsidRPr="00032355">
        <w:rPr>
          <w:b/>
          <w:i/>
          <w:szCs w:val="24"/>
        </w:rPr>
        <w:t>ad valorem</w:t>
      </w:r>
      <w:r w:rsidRPr="00032355">
        <w:rPr>
          <w:b/>
          <w:szCs w:val="24"/>
        </w:rPr>
        <w:t xml:space="preserve"> tax expense?</w:t>
      </w:r>
      <w:r>
        <w:rPr>
          <w:b/>
          <w:szCs w:val="24"/>
        </w:rPr>
        <w:t xml:space="preserve"> </w:t>
      </w:r>
    </w:p>
    <w:p w:rsidR="00032355" w:rsidRPr="00032355" w:rsidRDefault="00032355" w:rsidP="00032355">
      <w:pPr>
        <w:spacing w:line="480" w:lineRule="auto"/>
        <w:ind w:left="720" w:hanging="720"/>
        <w:jc w:val="both"/>
        <w:rPr>
          <w:szCs w:val="24"/>
        </w:rPr>
      </w:pPr>
      <w:r w:rsidRPr="00032355">
        <w:rPr>
          <w:szCs w:val="24"/>
        </w:rPr>
        <w:t>A.</w:t>
      </w:r>
      <w:r w:rsidRPr="00032355">
        <w:rPr>
          <w:szCs w:val="24"/>
        </w:rPr>
        <w:tab/>
        <w:t xml:space="preserve">As shown </w:t>
      </w:r>
      <w:r>
        <w:rPr>
          <w:szCs w:val="24"/>
        </w:rPr>
        <w:t>on</w:t>
      </w:r>
      <w:r w:rsidRPr="00032355">
        <w:rPr>
          <w:szCs w:val="24"/>
        </w:rPr>
        <w:t xml:space="preserve"> Attachment </w:t>
      </w:r>
      <w:r w:rsidR="00ED2922" w:rsidRPr="00697383">
        <w:rPr>
          <w:szCs w:val="24"/>
        </w:rPr>
        <w:t>MF-7</w:t>
      </w:r>
      <w:r w:rsidRPr="00032355">
        <w:rPr>
          <w:szCs w:val="24"/>
        </w:rPr>
        <w:t xml:space="preserve">, I </w:t>
      </w:r>
      <w:r>
        <w:rPr>
          <w:szCs w:val="24"/>
        </w:rPr>
        <w:t xml:space="preserve">am proposing </w:t>
      </w:r>
      <w:r w:rsidR="000747AC">
        <w:rPr>
          <w:szCs w:val="24"/>
        </w:rPr>
        <w:t>an adjustment</w:t>
      </w:r>
      <w:r>
        <w:rPr>
          <w:szCs w:val="24"/>
        </w:rPr>
        <w:t xml:space="preserve"> of ($391,078</w:t>
      </w:r>
      <w:r w:rsidRPr="00032355">
        <w:rPr>
          <w:szCs w:val="24"/>
        </w:rPr>
        <w:t xml:space="preserve">) to </w:t>
      </w:r>
      <w:r>
        <w:rPr>
          <w:szCs w:val="24"/>
        </w:rPr>
        <w:t>CenterPoint</w:t>
      </w:r>
      <w:r w:rsidRPr="00032355">
        <w:rPr>
          <w:szCs w:val="24"/>
        </w:rPr>
        <w:t>’s requested</w:t>
      </w:r>
      <w:r>
        <w:rPr>
          <w:szCs w:val="24"/>
        </w:rPr>
        <w:t xml:space="preserve"> amount for</w:t>
      </w:r>
      <w:r w:rsidRPr="00032355">
        <w:rPr>
          <w:szCs w:val="24"/>
        </w:rPr>
        <w:t xml:space="preserve"> </w:t>
      </w:r>
      <w:r w:rsidRPr="00032355">
        <w:rPr>
          <w:i/>
          <w:szCs w:val="24"/>
        </w:rPr>
        <w:t>ad valorem</w:t>
      </w:r>
      <w:r w:rsidRPr="00032355">
        <w:rPr>
          <w:szCs w:val="24"/>
        </w:rPr>
        <w:t xml:space="preserve"> tax expense.  This reduction is </w:t>
      </w:r>
      <w:r>
        <w:rPr>
          <w:szCs w:val="24"/>
        </w:rPr>
        <w:t xml:space="preserve">a flow through adjustment </w:t>
      </w:r>
      <w:r w:rsidRPr="00032355">
        <w:rPr>
          <w:szCs w:val="24"/>
        </w:rPr>
        <w:t xml:space="preserve">based on </w:t>
      </w:r>
      <w:r>
        <w:rPr>
          <w:szCs w:val="24"/>
        </w:rPr>
        <w:t xml:space="preserve">other </w:t>
      </w:r>
      <w:r w:rsidRPr="00032355">
        <w:rPr>
          <w:szCs w:val="24"/>
        </w:rPr>
        <w:t xml:space="preserve">Staff </w:t>
      </w:r>
      <w:r>
        <w:rPr>
          <w:szCs w:val="24"/>
        </w:rPr>
        <w:t>recommendations.  Because Staff recomm</w:t>
      </w:r>
      <w:r w:rsidR="00C60154">
        <w:rPr>
          <w:szCs w:val="24"/>
        </w:rPr>
        <w:t xml:space="preserve">ends reducing the amount of </w:t>
      </w:r>
      <w:r>
        <w:rPr>
          <w:szCs w:val="24"/>
        </w:rPr>
        <w:t xml:space="preserve">plant in service that CenterPoint has requested in this case, it is appropriate to reduce the amount for </w:t>
      </w:r>
      <w:r>
        <w:rPr>
          <w:i/>
          <w:szCs w:val="24"/>
        </w:rPr>
        <w:t xml:space="preserve">ad </w:t>
      </w:r>
      <w:r w:rsidRPr="00E5648F">
        <w:rPr>
          <w:i/>
          <w:szCs w:val="24"/>
        </w:rPr>
        <w:t>valorem</w:t>
      </w:r>
      <w:r>
        <w:rPr>
          <w:szCs w:val="24"/>
        </w:rPr>
        <w:t xml:space="preserve"> tax expense.  My calculation uses the effective rate for </w:t>
      </w:r>
      <w:r>
        <w:rPr>
          <w:i/>
          <w:szCs w:val="24"/>
        </w:rPr>
        <w:t>ad valorem</w:t>
      </w:r>
      <w:r>
        <w:rPr>
          <w:szCs w:val="24"/>
        </w:rPr>
        <w:t xml:space="preserve"> tax expense </w:t>
      </w:r>
      <w:r w:rsidR="002A162B">
        <w:rPr>
          <w:szCs w:val="24"/>
        </w:rPr>
        <w:t>for CenterPoint for the test year as determined</w:t>
      </w:r>
      <w:r>
        <w:rPr>
          <w:szCs w:val="24"/>
        </w:rPr>
        <w:t xml:space="preserve"> using information from CenterPoint’s Application.</w:t>
      </w:r>
    </w:p>
    <w:p w:rsidR="00032355" w:rsidRPr="00032355" w:rsidRDefault="00032355" w:rsidP="002A162B">
      <w:pPr>
        <w:spacing w:line="480" w:lineRule="auto"/>
        <w:ind w:left="720" w:hanging="720"/>
        <w:jc w:val="both"/>
        <w:rPr>
          <w:b/>
          <w:szCs w:val="24"/>
        </w:rPr>
      </w:pPr>
      <w:r w:rsidRPr="00032355">
        <w:rPr>
          <w:b/>
          <w:szCs w:val="24"/>
        </w:rPr>
        <w:t>Q.</w:t>
      </w:r>
      <w:r w:rsidRPr="00032355">
        <w:rPr>
          <w:b/>
          <w:szCs w:val="24"/>
        </w:rPr>
        <w:tab/>
        <w:t>Please explain</w:t>
      </w:r>
      <w:r>
        <w:rPr>
          <w:b/>
          <w:szCs w:val="24"/>
        </w:rPr>
        <w:t xml:space="preserve"> in detail your calculation</w:t>
      </w:r>
      <w:r w:rsidRPr="00032355">
        <w:rPr>
          <w:b/>
          <w:szCs w:val="24"/>
        </w:rPr>
        <w:t>.</w:t>
      </w:r>
    </w:p>
    <w:p w:rsidR="00032355" w:rsidRDefault="00032355" w:rsidP="00DF3B07">
      <w:pPr>
        <w:spacing w:line="480" w:lineRule="auto"/>
        <w:ind w:left="720" w:hanging="720"/>
        <w:jc w:val="both"/>
        <w:rPr>
          <w:szCs w:val="24"/>
        </w:rPr>
      </w:pPr>
      <w:r w:rsidRPr="00032355">
        <w:rPr>
          <w:szCs w:val="24"/>
        </w:rPr>
        <w:t>A.</w:t>
      </w:r>
      <w:r w:rsidRPr="00032355">
        <w:rPr>
          <w:szCs w:val="24"/>
        </w:rPr>
        <w:tab/>
      </w:r>
      <w:r w:rsidR="00667C85">
        <w:rPr>
          <w:szCs w:val="24"/>
        </w:rPr>
        <w:t>In order t</w:t>
      </w:r>
      <w:r w:rsidR="00237BB6">
        <w:rPr>
          <w:szCs w:val="24"/>
        </w:rPr>
        <w:t xml:space="preserve">o calculate the amount of Staff’s concomitant adjustment to </w:t>
      </w:r>
      <w:r w:rsidR="00237BB6">
        <w:rPr>
          <w:i/>
          <w:szCs w:val="24"/>
        </w:rPr>
        <w:t>ad valorem</w:t>
      </w:r>
      <w:r w:rsidR="00237BB6">
        <w:rPr>
          <w:szCs w:val="24"/>
        </w:rPr>
        <w:t xml:space="preserve"> tax based on Staff’s recommended adjustment to net plant in service</w:t>
      </w:r>
      <w:r w:rsidR="00667C85">
        <w:rPr>
          <w:szCs w:val="24"/>
        </w:rPr>
        <w:t>, I first compute the effective</w:t>
      </w:r>
      <w:r w:rsidR="00113AC6">
        <w:rPr>
          <w:szCs w:val="24"/>
        </w:rPr>
        <w:t xml:space="preserve"> rate</w:t>
      </w:r>
      <w:r w:rsidR="00667C85">
        <w:rPr>
          <w:szCs w:val="24"/>
        </w:rPr>
        <w:t xml:space="preserve"> for </w:t>
      </w:r>
      <w:r w:rsidR="00667C85">
        <w:rPr>
          <w:i/>
          <w:szCs w:val="24"/>
        </w:rPr>
        <w:t>ad valorem</w:t>
      </w:r>
      <w:r w:rsidR="00C60154">
        <w:rPr>
          <w:szCs w:val="24"/>
        </w:rPr>
        <w:t xml:space="preserve"> </w:t>
      </w:r>
      <w:r w:rsidR="00113AC6">
        <w:rPr>
          <w:szCs w:val="24"/>
        </w:rPr>
        <w:t xml:space="preserve">tax expense </w:t>
      </w:r>
      <w:r w:rsidR="00C60154">
        <w:rPr>
          <w:szCs w:val="24"/>
        </w:rPr>
        <w:t>for CenterPoint based on its A</w:t>
      </w:r>
      <w:r w:rsidR="00667C85">
        <w:rPr>
          <w:szCs w:val="24"/>
        </w:rPr>
        <w:t xml:space="preserve">pplication.  The test-year amount of </w:t>
      </w:r>
      <w:r w:rsidR="00667C85">
        <w:rPr>
          <w:i/>
          <w:szCs w:val="24"/>
        </w:rPr>
        <w:t>ad valorem</w:t>
      </w:r>
      <w:r w:rsidR="00667C85">
        <w:rPr>
          <w:szCs w:val="24"/>
        </w:rPr>
        <w:t xml:space="preserve"> tax expense divided by the test-year amount of plant in service yields an effective rate of 0.818104% (rounded).</w:t>
      </w:r>
      <w:r w:rsidR="00667C85">
        <w:rPr>
          <w:rStyle w:val="FootnoteReference"/>
          <w:szCs w:val="24"/>
        </w:rPr>
        <w:footnoteReference w:id="48"/>
      </w:r>
      <w:r w:rsidR="00667C85">
        <w:rPr>
          <w:szCs w:val="24"/>
        </w:rPr>
        <w:t xml:space="preserve">  Applying this effective rate to Staff’s overall adjustment of ($47,802,896) to plant in service yields an adjustment of ($391,078) to </w:t>
      </w:r>
      <w:r w:rsidR="00667C85">
        <w:rPr>
          <w:i/>
          <w:szCs w:val="24"/>
        </w:rPr>
        <w:t xml:space="preserve">ad valorem </w:t>
      </w:r>
      <w:r w:rsidR="00667C85">
        <w:rPr>
          <w:szCs w:val="24"/>
        </w:rPr>
        <w:t>tax expense.</w:t>
      </w:r>
      <w:r w:rsidR="00667C85">
        <w:rPr>
          <w:rStyle w:val="FootnoteReference"/>
          <w:szCs w:val="24"/>
        </w:rPr>
        <w:footnoteReference w:id="49"/>
      </w:r>
    </w:p>
    <w:p w:rsidR="00032355" w:rsidRDefault="00113AC6" w:rsidP="00113AC6">
      <w:pPr>
        <w:spacing w:line="480" w:lineRule="auto"/>
        <w:ind w:left="720" w:hanging="720"/>
        <w:jc w:val="both"/>
        <w:rPr>
          <w:szCs w:val="24"/>
        </w:rPr>
      </w:pPr>
      <w:r>
        <w:rPr>
          <w:szCs w:val="24"/>
        </w:rPr>
        <w:tab/>
      </w:r>
      <w:r>
        <w:rPr>
          <w:szCs w:val="24"/>
        </w:rPr>
        <w:tab/>
        <w:t xml:space="preserve">To be clear, I am not proposing an adjustment to the </w:t>
      </w:r>
      <w:r>
        <w:rPr>
          <w:i/>
          <w:szCs w:val="24"/>
        </w:rPr>
        <w:t>ad valorem</w:t>
      </w:r>
      <w:r>
        <w:rPr>
          <w:szCs w:val="24"/>
        </w:rPr>
        <w:t xml:space="preserve"> tax expense rate itself; I am only calculating an effective rate to produce the effect on </w:t>
      </w:r>
      <w:r>
        <w:rPr>
          <w:i/>
          <w:szCs w:val="24"/>
        </w:rPr>
        <w:t xml:space="preserve">ad valorem </w:t>
      </w:r>
      <w:r>
        <w:rPr>
          <w:szCs w:val="24"/>
        </w:rPr>
        <w:t xml:space="preserve">tax expense of the plant in service adjustments recommend by Staff. </w:t>
      </w:r>
    </w:p>
    <w:p w:rsidR="000747AC" w:rsidRPr="00032355" w:rsidRDefault="000747AC" w:rsidP="000747AC">
      <w:pPr>
        <w:pStyle w:val="Heading2"/>
        <w:spacing w:line="480" w:lineRule="auto"/>
      </w:pPr>
      <w:bookmarkStart w:id="15" w:name="_Toc11156119"/>
      <w:r>
        <w:t>J</w:t>
      </w:r>
      <w:r w:rsidRPr="00032355">
        <w:t>.</w:t>
      </w:r>
      <w:r w:rsidRPr="00032355">
        <w:tab/>
      </w:r>
      <w:r>
        <w:t>Texas Margin</w:t>
      </w:r>
      <w:r w:rsidR="00235238">
        <w:t>s</w:t>
      </w:r>
      <w:r>
        <w:t xml:space="preserve"> Tax</w:t>
      </w:r>
      <w:bookmarkEnd w:id="15"/>
    </w:p>
    <w:p w:rsidR="000747AC" w:rsidRDefault="000747AC" w:rsidP="000747AC">
      <w:pPr>
        <w:spacing w:line="480" w:lineRule="auto"/>
        <w:ind w:left="720" w:hanging="720"/>
        <w:jc w:val="both"/>
        <w:rPr>
          <w:szCs w:val="24"/>
        </w:rPr>
      </w:pPr>
      <w:r w:rsidRPr="00032355">
        <w:rPr>
          <w:b/>
          <w:szCs w:val="24"/>
        </w:rPr>
        <w:t>Q.</w:t>
      </w:r>
      <w:r w:rsidRPr="00032355">
        <w:rPr>
          <w:b/>
          <w:szCs w:val="24"/>
        </w:rPr>
        <w:tab/>
        <w:t xml:space="preserve">What adjustment are you proposing to </w:t>
      </w:r>
      <w:r>
        <w:rPr>
          <w:b/>
          <w:szCs w:val="24"/>
        </w:rPr>
        <w:t>CenterPoint</w:t>
      </w:r>
      <w:r w:rsidRPr="00032355">
        <w:rPr>
          <w:b/>
          <w:szCs w:val="24"/>
        </w:rPr>
        <w:t xml:space="preserve">’s requested </w:t>
      </w:r>
      <w:r w:rsidR="00113AC6">
        <w:rPr>
          <w:b/>
          <w:szCs w:val="24"/>
        </w:rPr>
        <w:t>amount for Texas m</w:t>
      </w:r>
      <w:r>
        <w:rPr>
          <w:b/>
          <w:szCs w:val="24"/>
        </w:rPr>
        <w:t>argin</w:t>
      </w:r>
      <w:r w:rsidR="00113AC6">
        <w:rPr>
          <w:b/>
          <w:szCs w:val="24"/>
        </w:rPr>
        <w:t>s t</w:t>
      </w:r>
      <w:r w:rsidRPr="00032355">
        <w:rPr>
          <w:b/>
          <w:szCs w:val="24"/>
        </w:rPr>
        <w:t>ax expense?</w:t>
      </w:r>
      <w:r>
        <w:rPr>
          <w:b/>
          <w:szCs w:val="24"/>
        </w:rPr>
        <w:t xml:space="preserve">  </w:t>
      </w:r>
    </w:p>
    <w:p w:rsidR="00487639" w:rsidRPr="00032355" w:rsidRDefault="000747AC" w:rsidP="005D38FC">
      <w:pPr>
        <w:spacing w:after="0" w:line="480" w:lineRule="auto"/>
        <w:ind w:left="720" w:hanging="720"/>
        <w:jc w:val="both"/>
        <w:rPr>
          <w:szCs w:val="24"/>
        </w:rPr>
      </w:pPr>
      <w:r w:rsidRPr="00032355">
        <w:rPr>
          <w:szCs w:val="24"/>
        </w:rPr>
        <w:t>A.</w:t>
      </w:r>
      <w:r w:rsidRPr="00032355">
        <w:rPr>
          <w:szCs w:val="24"/>
        </w:rPr>
        <w:tab/>
        <w:t xml:space="preserve">As shown </w:t>
      </w:r>
      <w:r>
        <w:rPr>
          <w:szCs w:val="24"/>
        </w:rPr>
        <w:t>on</w:t>
      </w:r>
      <w:r w:rsidRPr="00032355">
        <w:rPr>
          <w:szCs w:val="24"/>
        </w:rPr>
        <w:t xml:space="preserve"> Attachment </w:t>
      </w:r>
      <w:r w:rsidRPr="00697383">
        <w:rPr>
          <w:szCs w:val="24"/>
        </w:rPr>
        <w:t>MF-</w:t>
      </w:r>
      <w:r w:rsidR="00113AC6" w:rsidRPr="00697383">
        <w:rPr>
          <w:szCs w:val="24"/>
        </w:rPr>
        <w:t>8</w:t>
      </w:r>
      <w:r w:rsidRPr="00032355">
        <w:rPr>
          <w:szCs w:val="24"/>
        </w:rPr>
        <w:t xml:space="preserve">, I </w:t>
      </w:r>
      <w:r>
        <w:rPr>
          <w:szCs w:val="24"/>
        </w:rPr>
        <w:t>propose an adjustment of ($1,169,756</w:t>
      </w:r>
      <w:r w:rsidRPr="00032355">
        <w:rPr>
          <w:szCs w:val="24"/>
        </w:rPr>
        <w:t xml:space="preserve">) to </w:t>
      </w:r>
      <w:r>
        <w:rPr>
          <w:szCs w:val="24"/>
        </w:rPr>
        <w:t>CenterPoint</w:t>
      </w:r>
      <w:r w:rsidRPr="00032355">
        <w:rPr>
          <w:szCs w:val="24"/>
        </w:rPr>
        <w:t>’s requested</w:t>
      </w:r>
      <w:r>
        <w:rPr>
          <w:szCs w:val="24"/>
        </w:rPr>
        <w:t xml:space="preserve"> amount </w:t>
      </w:r>
      <w:r w:rsidR="00C60154">
        <w:rPr>
          <w:szCs w:val="24"/>
        </w:rPr>
        <w:t xml:space="preserve">for </w:t>
      </w:r>
      <w:r w:rsidR="00113AC6">
        <w:rPr>
          <w:szCs w:val="24"/>
        </w:rPr>
        <w:t>Texas m</w:t>
      </w:r>
      <w:r>
        <w:rPr>
          <w:szCs w:val="24"/>
        </w:rPr>
        <w:t>argin</w:t>
      </w:r>
      <w:r w:rsidR="00113AC6">
        <w:rPr>
          <w:szCs w:val="24"/>
        </w:rPr>
        <w:t>s</w:t>
      </w:r>
      <w:r>
        <w:rPr>
          <w:szCs w:val="24"/>
        </w:rPr>
        <w:t xml:space="preserve"> </w:t>
      </w:r>
      <w:r w:rsidR="00113AC6">
        <w:rPr>
          <w:szCs w:val="24"/>
        </w:rPr>
        <w:t>t</w:t>
      </w:r>
      <w:r w:rsidRPr="00032355">
        <w:rPr>
          <w:szCs w:val="24"/>
        </w:rPr>
        <w:t>ax expense.</w:t>
      </w:r>
      <w:r>
        <w:rPr>
          <w:rStyle w:val="FootnoteReference"/>
          <w:szCs w:val="24"/>
        </w:rPr>
        <w:footnoteReference w:id="50"/>
      </w:r>
      <w:r w:rsidRPr="00032355">
        <w:rPr>
          <w:szCs w:val="24"/>
        </w:rPr>
        <w:t xml:space="preserve">  This reduction is </w:t>
      </w:r>
      <w:r>
        <w:rPr>
          <w:szCs w:val="24"/>
        </w:rPr>
        <w:t xml:space="preserve">a flow through adjustment </w:t>
      </w:r>
      <w:r w:rsidRPr="00032355">
        <w:rPr>
          <w:szCs w:val="24"/>
        </w:rPr>
        <w:t xml:space="preserve">based on </w:t>
      </w:r>
      <w:r>
        <w:rPr>
          <w:szCs w:val="24"/>
        </w:rPr>
        <w:t xml:space="preserve">other </w:t>
      </w:r>
      <w:r w:rsidRPr="00032355">
        <w:rPr>
          <w:szCs w:val="24"/>
        </w:rPr>
        <w:t xml:space="preserve">Staff </w:t>
      </w:r>
      <w:r>
        <w:rPr>
          <w:szCs w:val="24"/>
        </w:rPr>
        <w:t xml:space="preserve">recommendations.  Because Staff recommends reducing the amount of total revenue requirement that CenterPoint has requested in this case, it is appropriate </w:t>
      </w:r>
      <w:r w:rsidR="00113AC6">
        <w:rPr>
          <w:szCs w:val="24"/>
        </w:rPr>
        <w:t>to reduce the amount for Texas m</w:t>
      </w:r>
      <w:r>
        <w:rPr>
          <w:szCs w:val="24"/>
        </w:rPr>
        <w:t>argin</w:t>
      </w:r>
      <w:r w:rsidR="00113AC6">
        <w:rPr>
          <w:szCs w:val="24"/>
        </w:rPr>
        <w:t xml:space="preserve">s </w:t>
      </w:r>
      <w:r>
        <w:rPr>
          <w:szCs w:val="24"/>
        </w:rPr>
        <w:t>ax expense</w:t>
      </w:r>
      <w:r w:rsidR="00EA4C80">
        <w:rPr>
          <w:szCs w:val="24"/>
        </w:rPr>
        <w:t xml:space="preserve"> as well</w:t>
      </w:r>
      <w:r>
        <w:rPr>
          <w:szCs w:val="24"/>
        </w:rPr>
        <w:t>.  My calculation is based on the fact that CenterPoint uses the</w:t>
      </w:r>
      <w:r w:rsidR="00C60154">
        <w:rPr>
          <w:szCs w:val="24"/>
        </w:rPr>
        <w:t xml:space="preserve"> cost of goods sold </w:t>
      </w:r>
      <w:r>
        <w:rPr>
          <w:szCs w:val="24"/>
        </w:rPr>
        <w:t>(COGS</w:t>
      </w:r>
      <w:r w:rsidR="00C60154">
        <w:rPr>
          <w:szCs w:val="24"/>
        </w:rPr>
        <w:t>) methodology</w:t>
      </w:r>
      <w:r>
        <w:rPr>
          <w:szCs w:val="24"/>
        </w:rPr>
        <w:t xml:space="preserve"> in calculating </w:t>
      </w:r>
      <w:r w:rsidR="00113AC6">
        <w:rPr>
          <w:szCs w:val="24"/>
        </w:rPr>
        <w:t>its</w:t>
      </w:r>
      <w:r>
        <w:rPr>
          <w:szCs w:val="24"/>
        </w:rPr>
        <w:t xml:space="preserve"> requested amount for </w:t>
      </w:r>
      <w:r w:rsidR="00113AC6">
        <w:rPr>
          <w:szCs w:val="24"/>
        </w:rPr>
        <w:t>Texas margins t</w:t>
      </w:r>
      <w:r>
        <w:rPr>
          <w:szCs w:val="24"/>
        </w:rPr>
        <w:t>ax expense in its Application.</w:t>
      </w:r>
    </w:p>
    <w:p w:rsidR="000747AC" w:rsidRPr="00032355" w:rsidRDefault="000747AC" w:rsidP="005D38FC">
      <w:pPr>
        <w:spacing w:after="0" w:line="480" w:lineRule="auto"/>
        <w:ind w:left="720" w:hanging="720"/>
        <w:rPr>
          <w:b/>
          <w:szCs w:val="24"/>
        </w:rPr>
      </w:pPr>
      <w:r w:rsidRPr="00032355">
        <w:rPr>
          <w:b/>
          <w:szCs w:val="24"/>
        </w:rPr>
        <w:t>Q.</w:t>
      </w:r>
      <w:r w:rsidRPr="00032355">
        <w:rPr>
          <w:b/>
          <w:szCs w:val="24"/>
        </w:rPr>
        <w:tab/>
        <w:t>Please explain</w:t>
      </w:r>
      <w:r>
        <w:rPr>
          <w:b/>
          <w:szCs w:val="24"/>
        </w:rPr>
        <w:t xml:space="preserve"> in detail your calculation</w:t>
      </w:r>
      <w:r w:rsidRPr="00032355">
        <w:rPr>
          <w:b/>
          <w:szCs w:val="24"/>
        </w:rPr>
        <w:t>.</w:t>
      </w:r>
    </w:p>
    <w:p w:rsidR="000747AC" w:rsidRDefault="000747AC" w:rsidP="00113AC6">
      <w:pPr>
        <w:spacing w:line="480" w:lineRule="auto"/>
        <w:ind w:left="720" w:hanging="720"/>
        <w:jc w:val="both"/>
        <w:rPr>
          <w:szCs w:val="24"/>
        </w:rPr>
      </w:pPr>
      <w:r w:rsidRPr="00032355">
        <w:rPr>
          <w:szCs w:val="24"/>
        </w:rPr>
        <w:t>A.</w:t>
      </w:r>
      <w:r w:rsidRPr="00032355">
        <w:rPr>
          <w:szCs w:val="24"/>
        </w:rPr>
        <w:tab/>
      </w:r>
      <w:r>
        <w:rPr>
          <w:szCs w:val="24"/>
        </w:rPr>
        <w:t xml:space="preserve">Because CenterPoint uses the COGS methodology in calculating </w:t>
      </w:r>
      <w:r w:rsidR="00113AC6">
        <w:rPr>
          <w:szCs w:val="24"/>
        </w:rPr>
        <w:t>its amount for Texas margins t</w:t>
      </w:r>
      <w:r>
        <w:rPr>
          <w:szCs w:val="24"/>
        </w:rPr>
        <w:t xml:space="preserve">ax expense, I also use that methodology in calculating Staff’s </w:t>
      </w:r>
      <w:r w:rsidR="00C60154">
        <w:rPr>
          <w:szCs w:val="24"/>
        </w:rPr>
        <w:t>adjustments</w:t>
      </w:r>
      <w:r>
        <w:rPr>
          <w:szCs w:val="24"/>
        </w:rPr>
        <w:t>.  Staff witness</w:t>
      </w:r>
      <w:r w:rsidR="00113AC6">
        <w:rPr>
          <w:szCs w:val="24"/>
        </w:rPr>
        <w:t>es</w:t>
      </w:r>
      <w:r>
        <w:rPr>
          <w:szCs w:val="24"/>
        </w:rPr>
        <w:t xml:space="preserve"> propose numerous adjustments that affect total revenue requirement; </w:t>
      </w:r>
      <w:r w:rsidR="00113AC6">
        <w:rPr>
          <w:szCs w:val="24"/>
        </w:rPr>
        <w:t>I am</w:t>
      </w:r>
      <w:r>
        <w:rPr>
          <w:szCs w:val="24"/>
        </w:rPr>
        <w:t xml:space="preserve"> not proposing any adjustments to CenterPoint’s COGS</w:t>
      </w:r>
      <w:r w:rsidR="00C60154">
        <w:rPr>
          <w:szCs w:val="24"/>
        </w:rPr>
        <w:t xml:space="preserve">, </w:t>
      </w:r>
      <w:r w:rsidR="00C60154" w:rsidRPr="00697383">
        <w:rPr>
          <w:szCs w:val="24"/>
        </w:rPr>
        <w:t>for th</w:t>
      </w:r>
      <w:r w:rsidR="00113AC6" w:rsidRPr="00697383">
        <w:rPr>
          <w:szCs w:val="24"/>
        </w:rPr>
        <w:t>e purposes of Texas m</w:t>
      </w:r>
      <w:r w:rsidR="00C60154" w:rsidRPr="00697383">
        <w:rPr>
          <w:szCs w:val="24"/>
        </w:rPr>
        <w:t>argin</w:t>
      </w:r>
      <w:r w:rsidR="00113AC6" w:rsidRPr="00697383">
        <w:rPr>
          <w:szCs w:val="24"/>
        </w:rPr>
        <w:t>s t</w:t>
      </w:r>
      <w:r w:rsidR="00C60154" w:rsidRPr="00697383">
        <w:rPr>
          <w:szCs w:val="24"/>
        </w:rPr>
        <w:t>ax</w:t>
      </w:r>
      <w:r w:rsidR="00C60154">
        <w:rPr>
          <w:szCs w:val="24"/>
        </w:rPr>
        <w:t>,</w:t>
      </w:r>
      <w:r>
        <w:rPr>
          <w:szCs w:val="24"/>
        </w:rPr>
        <w:t xml:space="preserve"> in this docket.  Therefore, my calculation multiplies Staff’s total revenue requirement adjustment of (155,967,422) by the margin</w:t>
      </w:r>
      <w:r w:rsidR="00235238">
        <w:rPr>
          <w:szCs w:val="24"/>
        </w:rPr>
        <w:t>s</w:t>
      </w:r>
      <w:r>
        <w:rPr>
          <w:szCs w:val="24"/>
        </w:rPr>
        <w:t xml:space="preserve"> tax ra</w:t>
      </w:r>
      <w:r w:rsidR="00113AC6">
        <w:rPr>
          <w:szCs w:val="24"/>
        </w:rPr>
        <w:t>te of 0.75% to arrive at my recommended</w:t>
      </w:r>
      <w:r>
        <w:rPr>
          <w:szCs w:val="24"/>
        </w:rPr>
        <w:t xml:space="preserve"> adjus</w:t>
      </w:r>
      <w:r w:rsidR="00113AC6">
        <w:rPr>
          <w:szCs w:val="24"/>
        </w:rPr>
        <w:t>tment of ($1,169,756) to Texas m</w:t>
      </w:r>
      <w:r>
        <w:rPr>
          <w:szCs w:val="24"/>
        </w:rPr>
        <w:t>argin</w:t>
      </w:r>
      <w:r w:rsidR="00113AC6">
        <w:rPr>
          <w:szCs w:val="24"/>
        </w:rPr>
        <w:t>s t</w:t>
      </w:r>
      <w:r>
        <w:rPr>
          <w:szCs w:val="24"/>
        </w:rPr>
        <w:t>ax expense.</w:t>
      </w:r>
      <w:r>
        <w:rPr>
          <w:rStyle w:val="FootnoteReference"/>
          <w:szCs w:val="24"/>
        </w:rPr>
        <w:footnoteReference w:id="51"/>
      </w:r>
      <w:r w:rsidR="00113AC6">
        <w:rPr>
          <w:szCs w:val="24"/>
        </w:rPr>
        <w:t xml:space="preserve"> </w:t>
      </w:r>
    </w:p>
    <w:p w:rsidR="000747AC" w:rsidRPr="00032355" w:rsidRDefault="000747AC" w:rsidP="00113AC6">
      <w:pPr>
        <w:pStyle w:val="Heading2"/>
        <w:spacing w:line="480" w:lineRule="auto"/>
        <w:ind w:left="720"/>
      </w:pPr>
      <w:bookmarkStart w:id="16" w:name="_Toc11156120"/>
      <w:r>
        <w:t>K</w:t>
      </w:r>
      <w:r w:rsidRPr="00032355">
        <w:t>.</w:t>
      </w:r>
      <w:r w:rsidRPr="00032355">
        <w:tab/>
      </w:r>
      <w:r>
        <w:t>Payroll Taxes</w:t>
      </w:r>
      <w:bookmarkEnd w:id="16"/>
    </w:p>
    <w:p w:rsidR="000747AC" w:rsidRDefault="000747AC" w:rsidP="000747AC">
      <w:pPr>
        <w:spacing w:line="480" w:lineRule="auto"/>
        <w:ind w:left="720" w:hanging="720"/>
        <w:jc w:val="both"/>
        <w:rPr>
          <w:szCs w:val="24"/>
        </w:rPr>
      </w:pPr>
      <w:r w:rsidRPr="00032355">
        <w:rPr>
          <w:b/>
          <w:szCs w:val="24"/>
        </w:rPr>
        <w:t>Q.</w:t>
      </w:r>
      <w:r w:rsidRPr="00032355">
        <w:rPr>
          <w:b/>
          <w:szCs w:val="24"/>
        </w:rPr>
        <w:tab/>
        <w:t xml:space="preserve">What adjustment are you proposing to </w:t>
      </w:r>
      <w:r>
        <w:rPr>
          <w:b/>
          <w:szCs w:val="24"/>
        </w:rPr>
        <w:t>CenterPoint</w:t>
      </w:r>
      <w:r w:rsidRPr="00032355">
        <w:rPr>
          <w:b/>
          <w:szCs w:val="24"/>
        </w:rPr>
        <w:t xml:space="preserve">’s requested </w:t>
      </w:r>
      <w:r>
        <w:rPr>
          <w:b/>
          <w:szCs w:val="24"/>
        </w:rPr>
        <w:t xml:space="preserve">amounts for payroll tax </w:t>
      </w:r>
      <w:r w:rsidRPr="00032355">
        <w:rPr>
          <w:b/>
          <w:szCs w:val="24"/>
        </w:rPr>
        <w:t>expense?</w:t>
      </w:r>
      <w:r>
        <w:rPr>
          <w:b/>
          <w:szCs w:val="24"/>
        </w:rPr>
        <w:t xml:space="preserve">  </w:t>
      </w:r>
    </w:p>
    <w:p w:rsidR="00B75CB1" w:rsidRPr="00113AC6" w:rsidRDefault="000747AC" w:rsidP="005D38FC">
      <w:pPr>
        <w:spacing w:after="0" w:line="480" w:lineRule="auto"/>
        <w:ind w:left="720" w:hanging="720"/>
        <w:jc w:val="both"/>
        <w:rPr>
          <w:szCs w:val="24"/>
        </w:rPr>
      </w:pPr>
      <w:r w:rsidRPr="00032355">
        <w:rPr>
          <w:szCs w:val="24"/>
        </w:rPr>
        <w:t>A.</w:t>
      </w:r>
      <w:r w:rsidRPr="00032355">
        <w:rPr>
          <w:szCs w:val="24"/>
        </w:rPr>
        <w:tab/>
        <w:t xml:space="preserve">As shown </w:t>
      </w:r>
      <w:r>
        <w:rPr>
          <w:szCs w:val="24"/>
        </w:rPr>
        <w:t>on</w:t>
      </w:r>
      <w:r w:rsidR="00113AC6">
        <w:rPr>
          <w:szCs w:val="24"/>
        </w:rPr>
        <w:t xml:space="preserve"> Staff’s</w:t>
      </w:r>
      <w:r w:rsidR="00F94D40">
        <w:rPr>
          <w:szCs w:val="24"/>
        </w:rPr>
        <w:t xml:space="preserve"> revenue requirement model in</w:t>
      </w:r>
      <w:r w:rsidRPr="00032355">
        <w:rPr>
          <w:szCs w:val="24"/>
        </w:rPr>
        <w:t xml:space="preserve"> Attachment </w:t>
      </w:r>
      <w:r w:rsidR="00113AC6" w:rsidRPr="002F6038">
        <w:rPr>
          <w:szCs w:val="24"/>
        </w:rPr>
        <w:t>MF-</w:t>
      </w:r>
      <w:r w:rsidR="00F94D40" w:rsidRPr="002F6038">
        <w:rPr>
          <w:szCs w:val="24"/>
        </w:rPr>
        <w:t>1</w:t>
      </w:r>
      <w:r w:rsidRPr="00032355">
        <w:rPr>
          <w:szCs w:val="24"/>
        </w:rPr>
        <w:t xml:space="preserve">, I </w:t>
      </w:r>
      <w:r>
        <w:rPr>
          <w:szCs w:val="24"/>
        </w:rPr>
        <w:t>propose an adjustment of ($</w:t>
      </w:r>
      <w:r w:rsidR="00C60154">
        <w:rPr>
          <w:szCs w:val="24"/>
        </w:rPr>
        <w:t>2,</w:t>
      </w:r>
      <w:r w:rsidR="00F94D40">
        <w:rPr>
          <w:szCs w:val="24"/>
        </w:rPr>
        <w:t>857</w:t>
      </w:r>
      <w:r w:rsidR="00C60154">
        <w:rPr>
          <w:szCs w:val="24"/>
        </w:rPr>
        <w:t>,000</w:t>
      </w:r>
      <w:r w:rsidRPr="00032355">
        <w:rPr>
          <w:szCs w:val="24"/>
        </w:rPr>
        <w:t>)</w:t>
      </w:r>
      <w:r w:rsidR="00C60154">
        <w:rPr>
          <w:szCs w:val="24"/>
        </w:rPr>
        <w:t xml:space="preserve"> (rounded)</w:t>
      </w:r>
      <w:r w:rsidRPr="00032355">
        <w:rPr>
          <w:szCs w:val="24"/>
        </w:rPr>
        <w:t xml:space="preserve"> to </w:t>
      </w:r>
      <w:r>
        <w:rPr>
          <w:szCs w:val="24"/>
        </w:rPr>
        <w:t>CenterPoint</w:t>
      </w:r>
      <w:r w:rsidRPr="00032355">
        <w:rPr>
          <w:szCs w:val="24"/>
        </w:rPr>
        <w:t>’s requested</w:t>
      </w:r>
      <w:r>
        <w:rPr>
          <w:szCs w:val="24"/>
        </w:rPr>
        <w:t xml:space="preserve"> amount </w:t>
      </w:r>
      <w:r w:rsidR="00F94D40">
        <w:rPr>
          <w:szCs w:val="24"/>
        </w:rPr>
        <w:t>o</w:t>
      </w:r>
      <w:r w:rsidR="00490DCB">
        <w:rPr>
          <w:szCs w:val="24"/>
        </w:rPr>
        <w:t>f FIC</w:t>
      </w:r>
      <w:r w:rsidR="00F94D40">
        <w:rPr>
          <w:szCs w:val="24"/>
        </w:rPr>
        <w:t>A</w:t>
      </w:r>
      <w:r w:rsidRPr="00032355">
        <w:rPr>
          <w:szCs w:val="24"/>
        </w:rPr>
        <w:t xml:space="preserve"> expense.</w:t>
      </w:r>
      <w:r>
        <w:rPr>
          <w:rStyle w:val="FootnoteReference"/>
          <w:szCs w:val="24"/>
        </w:rPr>
        <w:footnoteReference w:id="52"/>
      </w:r>
      <w:r w:rsidRPr="00032355">
        <w:rPr>
          <w:szCs w:val="24"/>
        </w:rPr>
        <w:t xml:space="preserve">  </w:t>
      </w:r>
      <w:r w:rsidR="00F94D40" w:rsidRPr="00032355">
        <w:rPr>
          <w:szCs w:val="24"/>
        </w:rPr>
        <w:t>This reduction is</w:t>
      </w:r>
      <w:r w:rsidR="00F94D40">
        <w:rPr>
          <w:szCs w:val="24"/>
        </w:rPr>
        <w:t>, mostly,</w:t>
      </w:r>
      <w:r w:rsidR="00F94D40" w:rsidRPr="00032355">
        <w:rPr>
          <w:szCs w:val="24"/>
        </w:rPr>
        <w:t xml:space="preserve"> </w:t>
      </w:r>
      <w:r w:rsidR="00F94D40">
        <w:rPr>
          <w:szCs w:val="24"/>
        </w:rPr>
        <w:t xml:space="preserve">a flow through adjustment </w:t>
      </w:r>
      <w:r w:rsidR="00F94D40" w:rsidRPr="00032355">
        <w:rPr>
          <w:szCs w:val="24"/>
        </w:rPr>
        <w:t xml:space="preserve">based on </w:t>
      </w:r>
      <w:r w:rsidR="00113AC6">
        <w:rPr>
          <w:szCs w:val="24"/>
        </w:rPr>
        <w:t>my other</w:t>
      </w:r>
      <w:r w:rsidR="00F94D40" w:rsidRPr="00032355">
        <w:rPr>
          <w:szCs w:val="24"/>
        </w:rPr>
        <w:t xml:space="preserve"> </w:t>
      </w:r>
      <w:r w:rsidR="00113AC6">
        <w:rPr>
          <w:szCs w:val="24"/>
        </w:rPr>
        <w:t>recommendations relating to payroll expenses.  Because I recommend</w:t>
      </w:r>
      <w:r w:rsidR="00F94D40">
        <w:rPr>
          <w:szCs w:val="24"/>
        </w:rPr>
        <w:t xml:space="preserve"> reducing the amounts for payroll expense that CenterPoint has requested in this case, it is appropriate to reduce the amount for payroll tax expense as well.  </w:t>
      </w:r>
      <w:r w:rsidR="00490DCB">
        <w:rPr>
          <w:szCs w:val="24"/>
        </w:rPr>
        <w:t xml:space="preserve">My adjustment to payroll tax expense includes amounts for FICA related to </w:t>
      </w:r>
      <w:r w:rsidR="00113AC6">
        <w:rPr>
          <w:szCs w:val="24"/>
        </w:rPr>
        <w:t>my</w:t>
      </w:r>
      <w:r w:rsidR="00490DCB">
        <w:rPr>
          <w:szCs w:val="24"/>
        </w:rPr>
        <w:t xml:space="preserve"> recommended reduction</w:t>
      </w:r>
      <w:r w:rsidR="00C60154">
        <w:rPr>
          <w:szCs w:val="24"/>
        </w:rPr>
        <w:t>s</w:t>
      </w:r>
      <w:r w:rsidR="00490DCB">
        <w:rPr>
          <w:szCs w:val="24"/>
        </w:rPr>
        <w:t xml:space="preserve"> for incentive compensation, calculated using the current FICA rate of 7.65%.  </w:t>
      </w:r>
      <w:r w:rsidR="00F94D40">
        <w:rPr>
          <w:szCs w:val="24"/>
        </w:rPr>
        <w:t xml:space="preserve">The total adjustment </w:t>
      </w:r>
      <w:r w:rsidR="00490DCB">
        <w:rPr>
          <w:szCs w:val="24"/>
        </w:rPr>
        <w:t xml:space="preserve">to payroll tax expense </w:t>
      </w:r>
      <w:r w:rsidR="00F94D40">
        <w:rPr>
          <w:szCs w:val="24"/>
        </w:rPr>
        <w:t>also includes an amount of payroll tax expense</w:t>
      </w:r>
      <w:r w:rsidR="00E20B5D">
        <w:rPr>
          <w:szCs w:val="24"/>
        </w:rPr>
        <w:t xml:space="preserve"> in </w:t>
      </w:r>
      <w:r w:rsidR="00E20B5D" w:rsidRPr="002F6038">
        <w:rPr>
          <w:szCs w:val="24"/>
        </w:rPr>
        <w:t>FERC Account No 408.1</w:t>
      </w:r>
      <w:r w:rsidR="00490DCB">
        <w:rPr>
          <w:szCs w:val="24"/>
        </w:rPr>
        <w:t>,</w:t>
      </w:r>
      <w:r w:rsidR="00F94D40">
        <w:rPr>
          <w:szCs w:val="24"/>
        </w:rPr>
        <w:t xml:space="preserve"> as identified in an RFI response from CenterPoint</w:t>
      </w:r>
      <w:r w:rsidR="00490DCB">
        <w:rPr>
          <w:szCs w:val="24"/>
        </w:rPr>
        <w:t xml:space="preserve">, relating to the 32 employees who have been terminated as a result of the </w:t>
      </w:r>
      <w:proofErr w:type="spellStart"/>
      <w:r w:rsidR="00490DCB">
        <w:rPr>
          <w:szCs w:val="24"/>
        </w:rPr>
        <w:t>Vectren</w:t>
      </w:r>
      <w:proofErr w:type="spellEnd"/>
      <w:r w:rsidR="00490DCB">
        <w:rPr>
          <w:szCs w:val="24"/>
        </w:rPr>
        <w:t xml:space="preserve"> acquisition but for whom CenterPoint included amounts in its request for rates</w:t>
      </w:r>
      <w:r w:rsidR="00F94D40">
        <w:rPr>
          <w:szCs w:val="24"/>
        </w:rPr>
        <w:t>.</w:t>
      </w:r>
      <w:r w:rsidR="00490DCB">
        <w:rPr>
          <w:rStyle w:val="FootnoteReference"/>
          <w:szCs w:val="24"/>
        </w:rPr>
        <w:footnoteReference w:id="53"/>
      </w:r>
    </w:p>
    <w:p w:rsidR="00B75CB1" w:rsidRPr="00D14C59" w:rsidRDefault="001E78B5" w:rsidP="00113AC6">
      <w:pPr>
        <w:pStyle w:val="Heading2"/>
        <w:overflowPunct w:val="0"/>
        <w:autoSpaceDE w:val="0"/>
        <w:autoSpaceDN w:val="0"/>
        <w:adjustRightInd w:val="0"/>
        <w:spacing w:after="60" w:line="480" w:lineRule="auto"/>
        <w:ind w:left="720" w:right="0"/>
        <w:jc w:val="left"/>
        <w:textAlignment w:val="baseline"/>
      </w:pPr>
      <w:bookmarkStart w:id="17" w:name="_Toc11156121"/>
      <w:r>
        <w:t>L.</w:t>
      </w:r>
      <w:r>
        <w:tab/>
      </w:r>
      <w:r w:rsidR="00B75CB1" w:rsidRPr="00D14C59">
        <w:t>Federal Income Tax Expense</w:t>
      </w:r>
      <w:bookmarkEnd w:id="17"/>
    </w:p>
    <w:p w:rsidR="00B75CB1" w:rsidRPr="00D14C59" w:rsidRDefault="00B75CB1" w:rsidP="00B75CB1">
      <w:pPr>
        <w:rPr>
          <w:b/>
          <w:szCs w:val="24"/>
        </w:rPr>
      </w:pPr>
      <w:r w:rsidRPr="00D14C59">
        <w:rPr>
          <w:b/>
          <w:szCs w:val="24"/>
        </w:rPr>
        <w:t>Q.</w:t>
      </w:r>
      <w:r w:rsidRPr="00D14C59">
        <w:rPr>
          <w:b/>
          <w:szCs w:val="24"/>
        </w:rPr>
        <w:tab/>
        <w:t>Please explain you</w:t>
      </w:r>
      <w:r w:rsidR="00113AC6">
        <w:rPr>
          <w:b/>
          <w:szCs w:val="24"/>
        </w:rPr>
        <w:t>r</w:t>
      </w:r>
      <w:r w:rsidRPr="00D14C59">
        <w:rPr>
          <w:b/>
          <w:szCs w:val="24"/>
        </w:rPr>
        <w:t xml:space="preserve"> calculation of Staff’s adjustment to federal income tax expense.</w:t>
      </w:r>
    </w:p>
    <w:p w:rsidR="00B75CB1" w:rsidRPr="00D14C59" w:rsidRDefault="00B75CB1" w:rsidP="00C72FAF">
      <w:pPr>
        <w:pStyle w:val="Style12ptJustifiedLeft0Hanging05LinespacingD"/>
        <w:spacing w:before="240"/>
      </w:pPr>
      <w:r w:rsidRPr="00D14C59">
        <w:t>A.</w:t>
      </w:r>
      <w:r w:rsidRPr="00D14C59">
        <w:tab/>
        <w:t xml:space="preserve">My calculation of </w:t>
      </w:r>
      <w:r w:rsidR="00C72FAF" w:rsidRPr="00D14C59">
        <w:t xml:space="preserve">the amount of </w:t>
      </w:r>
      <w:r w:rsidRPr="00D14C59">
        <w:t>federal income tax</w:t>
      </w:r>
      <w:r w:rsidR="00C72FAF" w:rsidRPr="00D14C59">
        <w:t xml:space="preserve"> included in Staff’s recommended revenue requirement follows a Tax Method One methodology for calculating federal income tax for a utility, just as the Company’s calculation did.  </w:t>
      </w:r>
      <w:r w:rsidRPr="00D14C59">
        <w:t xml:space="preserve"> </w:t>
      </w:r>
      <w:r w:rsidR="00C72FAF" w:rsidRPr="00D14C59">
        <w:t>In this methodo</w:t>
      </w:r>
      <w:r w:rsidR="00113AC6">
        <w:t xml:space="preserve">logy, changes to return on rate </w:t>
      </w:r>
      <w:r w:rsidR="00C72FAF" w:rsidRPr="00D14C59">
        <w:t>base and cost of debt will impact the amount of federal income tax expense.</w:t>
      </w:r>
    </w:p>
    <w:p w:rsidR="00DF3B07" w:rsidRDefault="00B75CB1" w:rsidP="00E20B5D">
      <w:pPr>
        <w:pStyle w:val="Style12ptJustifiedLeft0Hanging05LinespacingD"/>
        <w:spacing w:before="240"/>
        <w:ind w:firstLine="360"/>
      </w:pPr>
      <w:r w:rsidRPr="00D14C59">
        <w:t xml:space="preserve">My </w:t>
      </w:r>
      <w:r w:rsidR="00C72FAF" w:rsidRPr="00D14C59">
        <w:t xml:space="preserve">calculation of </w:t>
      </w:r>
      <w:r w:rsidR="00E20B5D">
        <w:t>my</w:t>
      </w:r>
      <w:r w:rsidR="00C72FAF" w:rsidRPr="00D14C59">
        <w:t xml:space="preserve"> </w:t>
      </w:r>
      <w:r w:rsidRPr="00D14C59">
        <w:t>adjustment to federal income tax expense i</w:t>
      </w:r>
      <w:r w:rsidR="00C72FAF" w:rsidRPr="00D14C59">
        <w:t>ncorporate</w:t>
      </w:r>
      <w:r w:rsidRPr="00D14C59">
        <w:t>s the result</w:t>
      </w:r>
      <w:r w:rsidR="00C72FAF" w:rsidRPr="00D14C59">
        <w:t>s</w:t>
      </w:r>
      <w:r w:rsidRPr="00D14C59">
        <w:t xml:space="preserve"> of Staff</w:t>
      </w:r>
      <w:r w:rsidR="00113AC6">
        <w:t>’s</w:t>
      </w:r>
      <w:r w:rsidRPr="00D14C59">
        <w:t xml:space="preserve"> adjustments to </w:t>
      </w:r>
      <w:r w:rsidR="00C60154">
        <w:t>CenterPoint</w:t>
      </w:r>
      <w:r w:rsidRPr="00D14C59">
        <w:t xml:space="preserve">’s requested balance of invested capital </w:t>
      </w:r>
      <w:r w:rsidR="00C72FAF" w:rsidRPr="00D14C59">
        <w:t>from Staff witnesses Ianni and Sweatman</w:t>
      </w:r>
      <w:r w:rsidR="00E22B3F">
        <w:t xml:space="preserve"> </w:t>
      </w:r>
      <w:r w:rsidR="00E22B3F" w:rsidRPr="002F6038">
        <w:t>and myself</w:t>
      </w:r>
      <w:r w:rsidR="00E20B5D" w:rsidRPr="002F6038">
        <w:t>, my adjustments to cash working capital and other rate base items,</w:t>
      </w:r>
      <w:r w:rsidR="00C72FAF" w:rsidRPr="00D14C59">
        <w:t xml:space="preserve"> and the</w:t>
      </w:r>
      <w:r w:rsidRPr="00D14C59">
        <w:t xml:space="preserve"> adjustments to the requested rate of return</w:t>
      </w:r>
      <w:r w:rsidR="00C72FAF" w:rsidRPr="00D14C59">
        <w:t xml:space="preserve"> (weighted-average cost of capital</w:t>
      </w:r>
      <w:r w:rsidRPr="00D14C59">
        <w:t xml:space="preserve">) as recommended by </w:t>
      </w:r>
      <w:r w:rsidR="00C60154">
        <w:t>Staff witness</w:t>
      </w:r>
      <w:r w:rsidRPr="00D14C59">
        <w:t xml:space="preserve"> </w:t>
      </w:r>
      <w:r w:rsidR="00D14C59" w:rsidRPr="00D14C59">
        <w:t>Ordonez</w:t>
      </w:r>
      <w:r w:rsidRPr="00D14C59">
        <w:t>.</w:t>
      </w:r>
      <w:r w:rsidR="00C60154">
        <w:t xml:space="preserve">  </w:t>
      </w:r>
      <w:r w:rsidR="00D14C59" w:rsidRPr="00D14C59">
        <w:t xml:space="preserve">The amount of </w:t>
      </w:r>
      <w:r w:rsidRPr="00D14C59">
        <w:t xml:space="preserve">invested capital </w:t>
      </w:r>
      <w:r w:rsidR="00D14C59" w:rsidRPr="00D14C59">
        <w:t>multiplied by</w:t>
      </w:r>
      <w:r w:rsidRPr="00D14C59">
        <w:t xml:space="preserve"> </w:t>
      </w:r>
      <w:r w:rsidR="00D14C59" w:rsidRPr="00D14C59">
        <w:t xml:space="preserve">the recommended </w:t>
      </w:r>
      <w:r w:rsidRPr="00D14C59">
        <w:t xml:space="preserve">rate of return </w:t>
      </w:r>
      <w:r w:rsidR="00D14C59" w:rsidRPr="00D14C59">
        <w:t>equals the</w:t>
      </w:r>
      <w:r w:rsidRPr="00D14C59">
        <w:t xml:space="preserve"> return </w:t>
      </w:r>
      <w:r w:rsidR="00D14C59" w:rsidRPr="00D14C59">
        <w:t xml:space="preserve">on rate base, the beginning </w:t>
      </w:r>
      <w:r w:rsidRPr="00D14C59">
        <w:t xml:space="preserve">amount </w:t>
      </w:r>
      <w:r w:rsidR="00D14C59" w:rsidRPr="00D14C59">
        <w:t xml:space="preserve">in the </w:t>
      </w:r>
      <w:r w:rsidRPr="00D14C59">
        <w:t>calculation</w:t>
      </w:r>
      <w:r w:rsidR="00D14C59" w:rsidRPr="00D14C59">
        <w:t xml:space="preserve"> of federal income tax expense</w:t>
      </w:r>
      <w:r w:rsidRPr="00D14C59">
        <w:t xml:space="preserve">.  </w:t>
      </w:r>
      <w:r w:rsidR="00D14C59" w:rsidRPr="00D14C59">
        <w:t xml:space="preserve">The recommended weighted cost of debt multiplied by the total </w:t>
      </w:r>
      <w:r w:rsidR="00EA4C80">
        <w:t>rate base</w:t>
      </w:r>
      <w:r w:rsidR="00D14C59" w:rsidRPr="00D14C59">
        <w:t xml:space="preserve"> is used to calculate the deduction for synchronized interest.  (</w:t>
      </w:r>
      <w:r w:rsidR="00C60154">
        <w:t>Because</w:t>
      </w:r>
      <w:r w:rsidR="00D14C59" w:rsidRPr="00D14C59">
        <w:t xml:space="preserve"> interest </w:t>
      </w:r>
      <w:r w:rsidR="00E20B5D">
        <w:t>expense is tax deductible, the C</w:t>
      </w:r>
      <w:r w:rsidR="00D14C59" w:rsidRPr="00D14C59">
        <w:t>ompany’s financing by debt needs to be remove</w:t>
      </w:r>
      <w:r w:rsidR="00E20B5D">
        <w:t>d in calculating the amount requir</w:t>
      </w:r>
      <w:r w:rsidR="00D14C59" w:rsidRPr="00D14C59">
        <w:t>ed for federal income tax expense in its revenue requirement.)  My calculation for federal income tax expense incorporates the weighted component cost of debt as recommended by Staff witness Ordonez.</w:t>
      </w:r>
    </w:p>
    <w:p w:rsidR="005D38FC" w:rsidRPr="00DF3B07" w:rsidRDefault="005D38FC" w:rsidP="00E20B5D">
      <w:pPr>
        <w:pStyle w:val="Style12ptJustifiedLeft0Hanging05LinespacingD"/>
        <w:spacing w:before="240"/>
        <w:ind w:firstLine="360"/>
      </w:pPr>
    </w:p>
    <w:p w:rsidR="00B75CB1" w:rsidRPr="00B75CB1" w:rsidRDefault="001E78B5" w:rsidP="00E20B5D">
      <w:pPr>
        <w:pStyle w:val="Heading2"/>
        <w:overflowPunct w:val="0"/>
        <w:autoSpaceDE w:val="0"/>
        <w:autoSpaceDN w:val="0"/>
        <w:adjustRightInd w:val="0"/>
        <w:spacing w:after="60" w:line="480" w:lineRule="auto"/>
        <w:ind w:left="360" w:right="0"/>
        <w:jc w:val="left"/>
        <w:textAlignment w:val="baseline"/>
        <w:rPr>
          <w:szCs w:val="24"/>
        </w:rPr>
      </w:pPr>
      <w:bookmarkStart w:id="18" w:name="_Toc11156122"/>
      <w:r>
        <w:t>M.</w:t>
      </w:r>
      <w:r>
        <w:tab/>
      </w:r>
      <w:r w:rsidR="00E20B5D">
        <w:tab/>
      </w:r>
      <w:r w:rsidR="00B75CB1">
        <w:t>Cash Working Capital</w:t>
      </w:r>
      <w:bookmarkEnd w:id="18"/>
    </w:p>
    <w:p w:rsidR="00D14C59" w:rsidRDefault="00C32578" w:rsidP="00B75CB1">
      <w:pPr>
        <w:spacing w:line="480" w:lineRule="auto"/>
        <w:ind w:left="720" w:hanging="720"/>
        <w:jc w:val="both"/>
        <w:rPr>
          <w:szCs w:val="24"/>
        </w:rPr>
      </w:pPr>
      <w:r w:rsidRPr="00C32578">
        <w:rPr>
          <w:b/>
          <w:szCs w:val="24"/>
        </w:rPr>
        <w:t>Q.</w:t>
      </w:r>
      <w:r w:rsidRPr="00C32578">
        <w:rPr>
          <w:b/>
          <w:szCs w:val="24"/>
        </w:rPr>
        <w:tab/>
      </w:r>
      <w:r w:rsidR="00D14C59" w:rsidRPr="00C32578">
        <w:rPr>
          <w:b/>
          <w:szCs w:val="24"/>
        </w:rPr>
        <w:t xml:space="preserve">Please explain your adjustment to </w:t>
      </w:r>
      <w:r w:rsidRPr="00C32578">
        <w:rPr>
          <w:b/>
          <w:szCs w:val="24"/>
        </w:rPr>
        <w:t>cash working capital</w:t>
      </w:r>
      <w:r w:rsidR="00D14C59" w:rsidRPr="00C32578">
        <w:rPr>
          <w:b/>
          <w:szCs w:val="24"/>
        </w:rPr>
        <w:t>.</w:t>
      </w:r>
    </w:p>
    <w:p w:rsidR="001E78B5" w:rsidRDefault="00B75CB1" w:rsidP="00E20B5D">
      <w:pPr>
        <w:spacing w:line="480" w:lineRule="auto"/>
        <w:ind w:left="720" w:hanging="720"/>
        <w:jc w:val="both"/>
        <w:rPr>
          <w:szCs w:val="24"/>
        </w:rPr>
      </w:pPr>
      <w:r w:rsidRPr="00B75CB1">
        <w:rPr>
          <w:szCs w:val="24"/>
        </w:rPr>
        <w:t>A.</w:t>
      </w:r>
      <w:r w:rsidRPr="00B75CB1">
        <w:rPr>
          <w:szCs w:val="24"/>
        </w:rPr>
        <w:tab/>
        <w:t xml:space="preserve">My recommended </w:t>
      </w:r>
      <w:r>
        <w:rPr>
          <w:szCs w:val="24"/>
        </w:rPr>
        <w:t>adjustment to cash working capital is a flow-through adjustment that</w:t>
      </w:r>
      <w:r w:rsidRPr="00B75CB1">
        <w:rPr>
          <w:szCs w:val="24"/>
        </w:rPr>
        <w:t xml:space="preserve"> is based on the Company’s methodol</w:t>
      </w:r>
      <w:r w:rsidR="00D47F6F">
        <w:rPr>
          <w:szCs w:val="24"/>
        </w:rPr>
        <w:t xml:space="preserve">ogy and the results of its </w:t>
      </w:r>
      <w:r w:rsidR="00D47F6F" w:rsidRPr="002F6038">
        <w:rPr>
          <w:szCs w:val="24"/>
        </w:rPr>
        <w:t>lead-</w:t>
      </w:r>
      <w:r w:rsidRPr="002F6038">
        <w:rPr>
          <w:szCs w:val="24"/>
        </w:rPr>
        <w:t>lag</w:t>
      </w:r>
      <w:r w:rsidRPr="00B75CB1">
        <w:rPr>
          <w:szCs w:val="24"/>
        </w:rPr>
        <w:t xml:space="preserve"> study.  Staff’s recommended adjustments to </w:t>
      </w:r>
      <w:r w:rsidRPr="00D47F6F">
        <w:rPr>
          <w:szCs w:val="24"/>
        </w:rPr>
        <w:t>operations and maintenance expenses</w:t>
      </w:r>
      <w:r w:rsidR="00032355" w:rsidRPr="00D47F6F">
        <w:rPr>
          <w:szCs w:val="24"/>
        </w:rPr>
        <w:t>, federal income taxes, and other</w:t>
      </w:r>
      <w:r w:rsidRPr="00D47F6F">
        <w:rPr>
          <w:szCs w:val="24"/>
        </w:rPr>
        <w:t xml:space="preserve"> taxes</w:t>
      </w:r>
      <w:r w:rsidRPr="00B75CB1">
        <w:rPr>
          <w:szCs w:val="24"/>
        </w:rPr>
        <w:t xml:space="preserve"> were incorporated into </w:t>
      </w:r>
      <w:r>
        <w:rPr>
          <w:szCs w:val="24"/>
        </w:rPr>
        <w:t>CenterPoint</w:t>
      </w:r>
      <w:r w:rsidRPr="00B75CB1">
        <w:rPr>
          <w:szCs w:val="24"/>
        </w:rPr>
        <w:t>’s calculation</w:t>
      </w:r>
      <w:r>
        <w:rPr>
          <w:szCs w:val="24"/>
        </w:rPr>
        <w:t>,</w:t>
      </w:r>
      <w:r w:rsidRPr="00B75CB1">
        <w:rPr>
          <w:szCs w:val="24"/>
        </w:rPr>
        <w:t xml:space="preserve"> resulting in Staff’s recommended </w:t>
      </w:r>
      <w:r>
        <w:rPr>
          <w:szCs w:val="24"/>
        </w:rPr>
        <w:t>adjustment of ($</w:t>
      </w:r>
      <w:r w:rsidR="00C60154">
        <w:rPr>
          <w:szCs w:val="24"/>
        </w:rPr>
        <w:t>2,296,395</w:t>
      </w:r>
      <w:r>
        <w:rPr>
          <w:szCs w:val="24"/>
        </w:rPr>
        <w:t>) to cash working capital</w:t>
      </w:r>
      <w:r w:rsidRPr="00B75CB1">
        <w:rPr>
          <w:szCs w:val="24"/>
        </w:rPr>
        <w:t>.</w:t>
      </w:r>
      <w:r w:rsidRPr="00B75CB1">
        <w:rPr>
          <w:rStyle w:val="FootnoteReference"/>
          <w:szCs w:val="24"/>
        </w:rPr>
        <w:footnoteReference w:id="54"/>
      </w:r>
      <w:r w:rsidRPr="00B75CB1">
        <w:rPr>
          <w:szCs w:val="24"/>
        </w:rPr>
        <w:t xml:space="preserve">  </w:t>
      </w:r>
    </w:p>
    <w:p w:rsidR="00D23415" w:rsidRPr="00D23415" w:rsidRDefault="00D23415" w:rsidP="00D23415">
      <w:pPr>
        <w:spacing w:before="120" w:after="0" w:line="480" w:lineRule="exact"/>
        <w:ind w:left="720" w:hanging="720"/>
        <w:jc w:val="both"/>
        <w:rPr>
          <w:rFonts w:ascii="Times" w:eastAsia="Times New Roman" w:hAnsi="Times" w:cs="Times New Roman"/>
          <w:b/>
          <w:szCs w:val="20"/>
        </w:rPr>
      </w:pPr>
      <w:r w:rsidRPr="00D23415">
        <w:rPr>
          <w:rFonts w:ascii="Times" w:eastAsia="Times New Roman" w:hAnsi="Times" w:cs="Times New Roman"/>
          <w:b/>
          <w:szCs w:val="20"/>
        </w:rPr>
        <w:t>Q.</w:t>
      </w:r>
      <w:r w:rsidRPr="00D23415">
        <w:rPr>
          <w:rFonts w:ascii="Times" w:eastAsia="Times New Roman" w:hAnsi="Times" w:cs="Times New Roman"/>
          <w:b/>
          <w:szCs w:val="20"/>
        </w:rPr>
        <w:tab/>
        <w:t>Does this conclude your testimony?</w:t>
      </w:r>
    </w:p>
    <w:p w:rsidR="00A25145" w:rsidRPr="00C84C20" w:rsidRDefault="00D23415" w:rsidP="00E20B5D">
      <w:pPr>
        <w:spacing w:after="0" w:line="480" w:lineRule="exact"/>
        <w:ind w:left="720" w:hanging="720"/>
        <w:jc w:val="both"/>
        <w:rPr>
          <w:rFonts w:ascii="Times" w:eastAsia="Times New Roman" w:hAnsi="Times" w:cs="Times New Roman"/>
          <w:szCs w:val="20"/>
        </w:rPr>
      </w:pPr>
      <w:r w:rsidRPr="00D23415">
        <w:rPr>
          <w:rFonts w:ascii="Times" w:eastAsia="Times New Roman" w:hAnsi="Times" w:cs="Times New Roman"/>
          <w:szCs w:val="20"/>
        </w:rPr>
        <w:t>A.</w:t>
      </w:r>
      <w:r w:rsidRPr="00D23415">
        <w:rPr>
          <w:rFonts w:ascii="Times" w:eastAsia="Times New Roman" w:hAnsi="Times" w:cs="Times New Roman"/>
          <w:szCs w:val="20"/>
        </w:rPr>
        <w:tab/>
        <w:t>Yes.</w:t>
      </w:r>
      <w:bookmarkStart w:id="19" w:name="_GoBack"/>
      <w:bookmarkEnd w:id="19"/>
    </w:p>
    <w:sectPr w:rsidR="00A25145" w:rsidRPr="00C84C20">
      <w:headerReference w:type="even" r:id="rId20"/>
      <w:headerReference w:type="default" r:id="rId21"/>
      <w:footerReference w:type="even" r:id="rId22"/>
      <w:footerReference w:type="default" r:id="rId23"/>
      <w:headerReference w:type="first" r:id="rId24"/>
      <w:pgSz w:w="12240" w:h="15840"/>
      <w:pgMar w:top="1440" w:right="1170" w:bottom="1440" w:left="1800" w:header="720" w:footer="720" w:gutter="0"/>
      <w:lnNumType w:countBy="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B70" w:rsidRDefault="00B80B70" w:rsidP="00D23415">
      <w:pPr>
        <w:spacing w:after="0" w:line="240" w:lineRule="auto"/>
      </w:pPr>
      <w:r>
        <w:separator/>
      </w:r>
    </w:p>
  </w:endnote>
  <w:endnote w:type="continuationSeparator" w:id="0">
    <w:p w:rsidR="00B80B70" w:rsidRDefault="00B80B70" w:rsidP="00D23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tabs>
        <w:tab w:val="center" w:pos="4320"/>
        <w:tab w:val="right" w:pos="86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tabs>
        <w:tab w:val="center" w:pos="4320"/>
        <w:tab w:val="right" w:pos="864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tabs>
        <w:tab w:val="center" w:pos="4320"/>
        <w:tab w:val="right" w:pos="864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Pr="006F1AED" w:rsidRDefault="00B80B70">
    <w:pPr>
      <w:pBdr>
        <w:top w:val="single" w:sz="24" w:space="1" w:color="auto"/>
      </w:pBdr>
      <w:spacing w:line="240" w:lineRule="exact"/>
      <w:jc w:val="right"/>
      <w:rPr>
        <w:rFonts w:cs="Times New Roman"/>
      </w:rPr>
    </w:pPr>
    <w:r>
      <w:rPr>
        <w:rFonts w:cs="Times New Roman"/>
      </w:rPr>
      <w:t xml:space="preserve">DIRECT </w:t>
    </w:r>
    <w:r w:rsidRPr="006F1AED">
      <w:rPr>
        <w:rFonts w:cs="Times New Roman"/>
      </w:rPr>
      <w:t xml:space="preserve">TESTIMONY OF </w:t>
    </w:r>
    <w:r>
      <w:rPr>
        <w:rFonts w:cs="Times New Roman"/>
      </w:rPr>
      <w:t>MARK FILAROWICZ</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spacing w:line="240" w:lineRule="exact"/>
      <w:rPr>
        <w:rFonts w:ascii="Courier" w:hAnsi="Courier"/>
      </w:rPr>
    </w:pPr>
    <w:r>
      <w:rPr>
        <w:rFonts w:ascii="Courier" w:hAnsi="Courier"/>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Pr="000F3AE1" w:rsidRDefault="00B80B70">
    <w:pPr>
      <w:pBdr>
        <w:top w:val="single" w:sz="24" w:space="1" w:color="auto"/>
      </w:pBdr>
      <w:spacing w:line="240" w:lineRule="exact"/>
      <w:jc w:val="right"/>
      <w:rPr>
        <w:rFonts w:cs="Times New Roman"/>
      </w:rPr>
    </w:pPr>
    <w:r>
      <w:rPr>
        <w:rFonts w:cs="Times New Roman"/>
      </w:rPr>
      <w:t xml:space="preserve">DIRECT </w:t>
    </w:r>
    <w:r w:rsidRPr="000F3AE1">
      <w:rPr>
        <w:rFonts w:cs="Times New Roman"/>
      </w:rPr>
      <w:t xml:space="preserve">TESTIMONY OF </w:t>
    </w:r>
    <w:r>
      <w:rPr>
        <w:rFonts w:cs="Times New Roman"/>
      </w:rPr>
      <w:t>MARK FILAROWICZ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B70" w:rsidRDefault="00B80B70" w:rsidP="00D23415">
      <w:pPr>
        <w:spacing w:after="0" w:line="240" w:lineRule="auto"/>
      </w:pPr>
      <w:r>
        <w:separator/>
      </w:r>
    </w:p>
  </w:footnote>
  <w:footnote w:type="continuationSeparator" w:id="0">
    <w:p w:rsidR="00B80B70" w:rsidRDefault="00B80B70" w:rsidP="00D23415">
      <w:pPr>
        <w:spacing w:after="0" w:line="240" w:lineRule="auto"/>
      </w:pPr>
      <w:r>
        <w:continuationSeparator/>
      </w:r>
    </w:p>
  </w:footnote>
  <w:footnote w:id="1">
    <w:p w:rsidR="00B80B70" w:rsidRDefault="00B80B70" w:rsidP="00AB534B">
      <w:pPr>
        <w:pStyle w:val="FootnoteText"/>
        <w:spacing w:before="120"/>
        <w:ind w:firstLine="720"/>
      </w:pPr>
      <w:r>
        <w:rPr>
          <w:rStyle w:val="FootnoteReference"/>
        </w:rPr>
        <w:footnoteRef/>
      </w:r>
      <w:r>
        <w:t xml:space="preserve"> </w:t>
      </w:r>
      <w:r w:rsidRPr="00D476A3">
        <w:rPr>
          <w:i/>
          <w:sz w:val="18"/>
          <w:szCs w:val="18"/>
        </w:rPr>
        <w:t xml:space="preserve">Application of </w:t>
      </w:r>
      <w:r>
        <w:rPr>
          <w:i/>
          <w:sz w:val="18"/>
          <w:szCs w:val="18"/>
        </w:rPr>
        <w:t>CenterPoint Electric Delivery Company, LLC, f</w:t>
      </w:r>
      <w:r w:rsidRPr="00D476A3">
        <w:rPr>
          <w:i/>
          <w:sz w:val="18"/>
          <w:szCs w:val="18"/>
        </w:rPr>
        <w:t xml:space="preserve">or Authority to Change Rates, </w:t>
      </w:r>
      <w:r w:rsidRPr="00D476A3">
        <w:rPr>
          <w:sz w:val="18"/>
          <w:szCs w:val="18"/>
        </w:rPr>
        <w:t xml:space="preserve">Docket No. </w:t>
      </w:r>
      <w:r>
        <w:rPr>
          <w:sz w:val="18"/>
          <w:szCs w:val="18"/>
        </w:rPr>
        <w:t>38339 (Jun. 23, 2011</w:t>
      </w:r>
      <w:r w:rsidRPr="00D476A3">
        <w:rPr>
          <w:sz w:val="18"/>
          <w:szCs w:val="18"/>
        </w:rPr>
        <w:t>)</w:t>
      </w:r>
      <w:r w:rsidRPr="00D476A3">
        <w:rPr>
          <w:i/>
          <w:sz w:val="18"/>
          <w:szCs w:val="18"/>
        </w:rPr>
        <w:t>.</w:t>
      </w:r>
    </w:p>
  </w:footnote>
  <w:footnote w:id="2">
    <w:p w:rsidR="00B80B70" w:rsidRDefault="00B80B70" w:rsidP="00AB534B">
      <w:pPr>
        <w:pStyle w:val="FootnoteText"/>
        <w:spacing w:before="120"/>
        <w:ind w:firstLine="720"/>
      </w:pPr>
      <w:r>
        <w:rPr>
          <w:rStyle w:val="FootnoteReference"/>
        </w:rPr>
        <w:footnoteRef/>
      </w:r>
      <w:r>
        <w:t xml:space="preserve"> Application, Schedule I-A-1 (Apr. 5, 2019).  </w:t>
      </w:r>
      <w:r w:rsidRPr="000326C8">
        <w:t xml:space="preserve">While often Schedule I-A-1 displays a Company’s total </w:t>
      </w:r>
      <w:r>
        <w:t xml:space="preserve">requested </w:t>
      </w:r>
      <w:r w:rsidRPr="000326C8">
        <w:t>cost of service, in this proceeding,</w:t>
      </w:r>
      <w:r>
        <w:t xml:space="preserve"> CenterPoint’s</w:t>
      </w:r>
      <w:r w:rsidRPr="000326C8">
        <w:t xml:space="preserve"> Schedule 1-A-1 does not include certain transmission-related items.  For Staff’s </w:t>
      </w:r>
      <w:r>
        <w:t xml:space="preserve">recommended </w:t>
      </w:r>
      <w:r w:rsidRPr="000326C8">
        <w:t xml:space="preserve">cost of service, see the testimony of Staff witness </w:t>
      </w:r>
      <w:r>
        <w:t xml:space="preserve">Brian </w:t>
      </w:r>
      <w:r w:rsidRPr="000326C8">
        <w:t>Murphy.</w:t>
      </w:r>
    </w:p>
  </w:footnote>
  <w:footnote w:id="3">
    <w:p w:rsidR="00B80B70" w:rsidRDefault="00B80B70" w:rsidP="00AB534B">
      <w:pPr>
        <w:pStyle w:val="FootnoteText"/>
        <w:spacing w:before="120"/>
        <w:ind w:firstLine="720"/>
      </w:pPr>
      <w:r>
        <w:rPr>
          <w:rStyle w:val="FootnoteReference"/>
        </w:rPr>
        <w:footnoteRef/>
      </w:r>
      <w:r>
        <w:t xml:space="preserve"> CenterPoint Energy Houston Electric, LLC’s Errata 1 Filing of the Rate Filing Package Schedules and </w:t>
      </w:r>
      <w:proofErr w:type="spellStart"/>
      <w:r>
        <w:t>Workpapers</w:t>
      </w:r>
      <w:proofErr w:type="spellEnd"/>
      <w:r>
        <w:t xml:space="preserve"> (May 20, 2019).</w:t>
      </w:r>
    </w:p>
  </w:footnote>
  <w:footnote w:id="4">
    <w:p w:rsidR="00B80B70" w:rsidRDefault="00B80B70" w:rsidP="00AB534B">
      <w:pPr>
        <w:pStyle w:val="FootnoteText"/>
        <w:spacing w:before="120"/>
        <w:ind w:firstLine="720"/>
      </w:pPr>
      <w:r>
        <w:rPr>
          <w:rStyle w:val="FootnoteReference"/>
        </w:rPr>
        <w:footnoteRef/>
      </w:r>
      <w:r>
        <w:t xml:space="preserve"> </w:t>
      </w:r>
      <w:r w:rsidRPr="000326C8">
        <w:rPr>
          <w:i/>
        </w:rPr>
        <w:t>Ibid.</w:t>
      </w:r>
      <w:r>
        <w:t xml:space="preserve"> at Page 2.</w:t>
      </w:r>
    </w:p>
  </w:footnote>
  <w:footnote w:id="5">
    <w:p w:rsidR="00B80B70" w:rsidRDefault="00B80B70" w:rsidP="00BC3C10">
      <w:pPr>
        <w:pStyle w:val="FootnoteText"/>
        <w:spacing w:before="120"/>
        <w:ind w:firstLine="720"/>
      </w:pPr>
      <w:r>
        <w:rPr>
          <w:rStyle w:val="FootnoteReference"/>
        </w:rPr>
        <w:footnoteRef/>
      </w:r>
      <w:r>
        <w:t xml:space="preserve">  </w:t>
      </w:r>
      <w:r w:rsidRPr="00BC3C10">
        <w:t xml:space="preserve">Update to CenterPoint Energy Houston Electric, LLC’s Errata 1 Filing of the Rate Filing Package Schedules and </w:t>
      </w:r>
      <w:proofErr w:type="spellStart"/>
      <w:r w:rsidRPr="00BC3C10">
        <w:t>Workpapers</w:t>
      </w:r>
      <w:proofErr w:type="spellEnd"/>
      <w:r w:rsidRPr="00BC3C10">
        <w:t xml:space="preserve"> (Jun. 3, 2019).</w:t>
      </w:r>
    </w:p>
  </w:footnote>
  <w:footnote w:id="6">
    <w:p w:rsidR="00B80B70" w:rsidRDefault="00B80B70" w:rsidP="00AB534B">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Staff 3-01 (May 8, 2019)</w:t>
      </w:r>
      <w:r w:rsidRPr="00D476A3">
        <w:rPr>
          <w:sz w:val="18"/>
          <w:szCs w:val="18"/>
        </w:rPr>
        <w:t xml:space="preserve"> (</w:t>
      </w:r>
      <w:r w:rsidRPr="00DB0729">
        <w:rPr>
          <w:sz w:val="18"/>
          <w:szCs w:val="18"/>
        </w:rPr>
        <w:t>Attachment MF-</w:t>
      </w:r>
      <w:r>
        <w:rPr>
          <w:sz w:val="18"/>
          <w:szCs w:val="18"/>
        </w:rPr>
        <w:t>11</w:t>
      </w:r>
      <w:r w:rsidRPr="00D476A3">
        <w:rPr>
          <w:sz w:val="18"/>
          <w:szCs w:val="18"/>
        </w:rPr>
        <w:t>)</w:t>
      </w:r>
      <w:r>
        <w:rPr>
          <w:sz w:val="18"/>
          <w:szCs w:val="18"/>
        </w:rPr>
        <w:t>.</w:t>
      </w:r>
    </w:p>
  </w:footnote>
  <w:footnote w:id="7">
    <w:p w:rsidR="00B80B70" w:rsidRDefault="00B80B70" w:rsidP="00AB534B">
      <w:pPr>
        <w:pStyle w:val="FootnoteText"/>
        <w:spacing w:before="120"/>
        <w:ind w:firstLine="720"/>
      </w:pPr>
      <w:r w:rsidRPr="00D476A3">
        <w:rPr>
          <w:rStyle w:val="FootnoteReference"/>
          <w:sz w:val="18"/>
          <w:szCs w:val="18"/>
        </w:rPr>
        <w:footnoteRef/>
      </w:r>
      <w:r>
        <w:rPr>
          <w:sz w:val="18"/>
          <w:szCs w:val="18"/>
        </w:rPr>
        <w:t xml:space="preserve"> Application, Direct Testimony of Lynne </w:t>
      </w:r>
      <w:proofErr w:type="spellStart"/>
      <w:r>
        <w:rPr>
          <w:sz w:val="18"/>
          <w:szCs w:val="18"/>
        </w:rPr>
        <w:t>Harkel</w:t>
      </w:r>
      <w:proofErr w:type="spellEnd"/>
      <w:r>
        <w:rPr>
          <w:sz w:val="18"/>
          <w:szCs w:val="18"/>
        </w:rPr>
        <w:t>-Rumford at</w:t>
      </w:r>
      <w:r w:rsidRPr="00D476A3">
        <w:rPr>
          <w:sz w:val="18"/>
          <w:szCs w:val="18"/>
        </w:rPr>
        <w:t xml:space="preserve"> </w:t>
      </w:r>
      <w:r>
        <w:rPr>
          <w:sz w:val="18"/>
          <w:szCs w:val="18"/>
        </w:rPr>
        <w:t>Pages 28 and 29 of 46 (Apr. 5, 2019)</w:t>
      </w:r>
      <w:r w:rsidRPr="00D96E58">
        <w:t>.</w:t>
      </w:r>
    </w:p>
  </w:footnote>
  <w:footnote w:id="8">
    <w:p w:rsidR="00B80B70" w:rsidRDefault="00B80B70" w:rsidP="00AB534B">
      <w:pPr>
        <w:pStyle w:val="FootnoteText"/>
        <w:spacing w:before="120"/>
        <w:ind w:firstLine="720"/>
      </w:pPr>
      <w:r w:rsidRPr="00D476A3">
        <w:rPr>
          <w:rStyle w:val="FootnoteReference"/>
          <w:sz w:val="18"/>
          <w:szCs w:val="18"/>
        </w:rPr>
        <w:footnoteRef/>
      </w:r>
      <w:r>
        <w:rPr>
          <w:sz w:val="18"/>
          <w:szCs w:val="18"/>
        </w:rPr>
        <w:t xml:space="preserve"> Open Meeting Tr. at 184:13-16 (Dec. 3, 2015)</w:t>
      </w:r>
      <w:r w:rsidRPr="00D96E58">
        <w:t>.</w:t>
      </w:r>
    </w:p>
  </w:footnote>
  <w:footnote w:id="9">
    <w:p w:rsidR="00B80B70" w:rsidRDefault="00B80B70" w:rsidP="00AB534B">
      <w:pPr>
        <w:pStyle w:val="FootnoteText"/>
        <w:spacing w:before="120"/>
        <w:ind w:firstLine="720"/>
      </w:pPr>
      <w:r w:rsidRPr="00D476A3">
        <w:rPr>
          <w:rStyle w:val="FootnoteReference"/>
          <w:sz w:val="18"/>
          <w:szCs w:val="18"/>
        </w:rPr>
        <w:footnoteRef/>
      </w:r>
      <w:r>
        <w:rPr>
          <w:sz w:val="18"/>
          <w:szCs w:val="18"/>
        </w:rPr>
        <w:t xml:space="preserve"> Docket No. 33309</w:t>
      </w:r>
      <w:r w:rsidRPr="00D476A3">
        <w:rPr>
          <w:sz w:val="18"/>
          <w:szCs w:val="18"/>
        </w:rPr>
        <w:t xml:space="preserve">, Order on Rehearing, Finding of Fact </w:t>
      </w:r>
      <w:r>
        <w:rPr>
          <w:sz w:val="18"/>
          <w:szCs w:val="18"/>
        </w:rPr>
        <w:t>No. 82 (Mar. 4, 2008)</w:t>
      </w:r>
      <w:r w:rsidRPr="00D96E58">
        <w:t>.</w:t>
      </w:r>
    </w:p>
  </w:footnote>
  <w:footnote w:id="10">
    <w:p w:rsidR="00B80B70" w:rsidRPr="00D476A3" w:rsidRDefault="00B80B70" w:rsidP="00AB534B">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w:t>
      </w:r>
      <w:r w:rsidRPr="00D476A3">
        <w:rPr>
          <w:i/>
          <w:sz w:val="18"/>
          <w:szCs w:val="18"/>
        </w:rPr>
        <w:t xml:space="preserve">Application of Southwestern Public Service Company for Authority to Change Rates, </w:t>
      </w:r>
      <w:r w:rsidRPr="00D476A3">
        <w:rPr>
          <w:sz w:val="18"/>
          <w:szCs w:val="18"/>
        </w:rPr>
        <w:t>Docket No. 43695</w:t>
      </w:r>
      <w:r>
        <w:rPr>
          <w:sz w:val="18"/>
          <w:szCs w:val="18"/>
        </w:rPr>
        <w:t>,</w:t>
      </w:r>
      <w:r w:rsidRPr="00D476A3">
        <w:rPr>
          <w:sz w:val="18"/>
          <w:szCs w:val="18"/>
        </w:rPr>
        <w:t xml:space="preserve"> Order on Rehearing</w:t>
      </w:r>
      <w:r>
        <w:rPr>
          <w:sz w:val="18"/>
          <w:szCs w:val="18"/>
        </w:rPr>
        <w:t xml:space="preserve"> at 5</w:t>
      </w:r>
      <w:r w:rsidRPr="00D476A3">
        <w:rPr>
          <w:sz w:val="18"/>
          <w:szCs w:val="18"/>
        </w:rPr>
        <w:t xml:space="preserve"> (Feb. 23, 2016).</w:t>
      </w:r>
    </w:p>
  </w:footnote>
  <w:footnote w:id="11">
    <w:p w:rsidR="00B80B70" w:rsidRDefault="00B80B70" w:rsidP="00AB534B">
      <w:pPr>
        <w:pStyle w:val="FootnoteText"/>
        <w:spacing w:before="120"/>
        <w:ind w:firstLine="720"/>
      </w:pPr>
      <w:r>
        <w:rPr>
          <w:rStyle w:val="FootnoteReference"/>
        </w:rPr>
        <w:footnoteRef/>
      </w:r>
      <w:r>
        <w:t xml:space="preserve"> </w:t>
      </w:r>
      <w:r w:rsidRPr="007C6280">
        <w:rPr>
          <w:i/>
        </w:rPr>
        <w:t>Ibid</w:t>
      </w:r>
      <w:r>
        <w:t>.</w:t>
      </w:r>
    </w:p>
  </w:footnote>
  <w:footnote w:id="12">
    <w:p w:rsidR="00B80B70" w:rsidRDefault="00B80B70" w:rsidP="00AB534B">
      <w:pPr>
        <w:pStyle w:val="FootnoteText"/>
        <w:spacing w:before="120"/>
        <w:ind w:firstLine="720"/>
      </w:pPr>
      <w:r w:rsidRPr="00D476A3">
        <w:rPr>
          <w:rStyle w:val="FootnoteReference"/>
          <w:sz w:val="18"/>
          <w:szCs w:val="18"/>
        </w:rPr>
        <w:footnoteRef/>
      </w:r>
      <w:r>
        <w:rPr>
          <w:sz w:val="18"/>
          <w:szCs w:val="18"/>
        </w:rPr>
        <w:t xml:space="preserve"> Docket No. 46449</w:t>
      </w:r>
      <w:r w:rsidRPr="00D476A3">
        <w:rPr>
          <w:sz w:val="18"/>
          <w:szCs w:val="18"/>
        </w:rPr>
        <w:t xml:space="preserve">, Order on Rehearing, Finding of Fact </w:t>
      </w:r>
      <w:r>
        <w:rPr>
          <w:sz w:val="18"/>
          <w:szCs w:val="18"/>
        </w:rPr>
        <w:t>No. 194 (Mar. 19, 2018)</w:t>
      </w:r>
      <w:r w:rsidRPr="00D96E58">
        <w:t>.</w:t>
      </w:r>
    </w:p>
  </w:footnote>
  <w:footnote w:id="13">
    <w:p w:rsidR="00B80B70" w:rsidRDefault="00B80B70" w:rsidP="00AB534B">
      <w:pPr>
        <w:pStyle w:val="FootnoteText"/>
        <w:spacing w:before="120"/>
        <w:ind w:left="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Staff 3-01 (May 8, 2019)</w:t>
      </w:r>
      <w:r w:rsidRPr="00D476A3">
        <w:rPr>
          <w:sz w:val="18"/>
          <w:szCs w:val="18"/>
        </w:rPr>
        <w:t xml:space="preserve"> (</w:t>
      </w:r>
      <w:r w:rsidRPr="00A662FF">
        <w:rPr>
          <w:sz w:val="18"/>
          <w:szCs w:val="18"/>
        </w:rPr>
        <w:t>Attachment MF-</w:t>
      </w:r>
      <w:r>
        <w:rPr>
          <w:sz w:val="18"/>
          <w:szCs w:val="18"/>
        </w:rPr>
        <w:t>11</w:t>
      </w:r>
      <w:r w:rsidRPr="00D476A3">
        <w:rPr>
          <w:sz w:val="18"/>
          <w:szCs w:val="18"/>
        </w:rPr>
        <w:t>)</w:t>
      </w:r>
      <w:r>
        <w:rPr>
          <w:sz w:val="18"/>
          <w:szCs w:val="18"/>
        </w:rPr>
        <w:t>.</w:t>
      </w:r>
    </w:p>
  </w:footnote>
  <w:footnote w:id="14">
    <w:p w:rsidR="00B80B70" w:rsidRDefault="00B80B70" w:rsidP="00AB534B">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COH 3-17 (May 13, 2019)</w:t>
      </w:r>
      <w:r w:rsidRPr="00D476A3">
        <w:rPr>
          <w:sz w:val="18"/>
          <w:szCs w:val="18"/>
        </w:rPr>
        <w:t xml:space="preserve"> (</w:t>
      </w:r>
      <w:r w:rsidRPr="00A662FF">
        <w:rPr>
          <w:sz w:val="18"/>
          <w:szCs w:val="18"/>
        </w:rPr>
        <w:t>Attachment MF-</w:t>
      </w:r>
      <w:r>
        <w:rPr>
          <w:sz w:val="18"/>
          <w:szCs w:val="18"/>
        </w:rPr>
        <w:t>11</w:t>
      </w:r>
      <w:r w:rsidRPr="00D476A3">
        <w:rPr>
          <w:sz w:val="18"/>
          <w:szCs w:val="18"/>
        </w:rPr>
        <w:t>)</w:t>
      </w:r>
      <w:r>
        <w:rPr>
          <w:sz w:val="18"/>
          <w:szCs w:val="18"/>
        </w:rPr>
        <w:t>.</w:t>
      </w:r>
    </w:p>
  </w:footnote>
  <w:footnote w:id="15">
    <w:p w:rsidR="00B80B70" w:rsidRDefault="00B80B70" w:rsidP="00AB534B">
      <w:pPr>
        <w:pStyle w:val="FootnoteText"/>
        <w:spacing w:before="120"/>
        <w:ind w:firstLine="720"/>
      </w:pPr>
      <w:r>
        <w:rPr>
          <w:rStyle w:val="FootnoteReference"/>
        </w:rPr>
        <w:footnoteRef/>
      </w:r>
      <w:r>
        <w:t xml:space="preserve"> Application, WP V-K-6.1 (Apr. 5, 2019).</w:t>
      </w:r>
    </w:p>
  </w:footnote>
  <w:footnote w:id="16">
    <w:p w:rsidR="00B80B70" w:rsidRDefault="00B80B70" w:rsidP="00AB534B">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Staff 3-01 (May 8, 2019)</w:t>
      </w:r>
      <w:r w:rsidRPr="00D476A3">
        <w:rPr>
          <w:sz w:val="18"/>
          <w:szCs w:val="18"/>
        </w:rPr>
        <w:t xml:space="preserve"> (</w:t>
      </w:r>
      <w:r w:rsidRPr="00A662FF">
        <w:rPr>
          <w:sz w:val="18"/>
          <w:szCs w:val="18"/>
        </w:rPr>
        <w:t>Attachment MF-</w:t>
      </w:r>
      <w:r>
        <w:rPr>
          <w:sz w:val="18"/>
          <w:szCs w:val="18"/>
        </w:rPr>
        <w:t>11</w:t>
      </w:r>
      <w:r w:rsidRPr="00D476A3">
        <w:rPr>
          <w:sz w:val="18"/>
          <w:szCs w:val="18"/>
        </w:rPr>
        <w:t>)</w:t>
      </w:r>
      <w:r>
        <w:rPr>
          <w:sz w:val="18"/>
          <w:szCs w:val="18"/>
        </w:rPr>
        <w:t>.</w:t>
      </w:r>
    </w:p>
  </w:footnote>
  <w:footnote w:id="17">
    <w:p w:rsidR="00B80B70" w:rsidRDefault="00B80B70" w:rsidP="00AB534B">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COH 3-17 (May 13, 2019)</w:t>
      </w:r>
      <w:r w:rsidRPr="00D476A3">
        <w:rPr>
          <w:sz w:val="18"/>
          <w:szCs w:val="18"/>
        </w:rPr>
        <w:t xml:space="preserve"> (</w:t>
      </w:r>
      <w:r w:rsidRPr="00A662FF">
        <w:rPr>
          <w:sz w:val="18"/>
          <w:szCs w:val="18"/>
        </w:rPr>
        <w:t>Attachment MF-</w:t>
      </w:r>
      <w:r>
        <w:rPr>
          <w:sz w:val="18"/>
          <w:szCs w:val="18"/>
        </w:rPr>
        <w:t>11</w:t>
      </w:r>
      <w:r w:rsidRPr="00D476A3">
        <w:rPr>
          <w:sz w:val="18"/>
          <w:szCs w:val="18"/>
        </w:rPr>
        <w:t>)</w:t>
      </w:r>
      <w:r>
        <w:rPr>
          <w:sz w:val="18"/>
          <w:szCs w:val="18"/>
        </w:rPr>
        <w:t>.</w:t>
      </w:r>
    </w:p>
  </w:footnote>
  <w:footnote w:id="18">
    <w:p w:rsidR="00B80B70" w:rsidRDefault="00B80B70" w:rsidP="00AB534B">
      <w:pPr>
        <w:pStyle w:val="FootnoteText"/>
        <w:spacing w:before="120"/>
        <w:ind w:firstLine="720"/>
      </w:pPr>
      <w:r w:rsidRPr="00D476A3">
        <w:rPr>
          <w:rStyle w:val="FootnoteReference"/>
          <w:sz w:val="18"/>
          <w:szCs w:val="18"/>
        </w:rPr>
        <w:footnoteRef/>
      </w:r>
      <w:r>
        <w:rPr>
          <w:sz w:val="18"/>
          <w:szCs w:val="18"/>
        </w:rPr>
        <w:t xml:space="preserve"> Application, Direct Testimony of John Reed</w:t>
      </w:r>
      <w:r w:rsidRPr="00D476A3">
        <w:rPr>
          <w:sz w:val="18"/>
          <w:szCs w:val="18"/>
        </w:rPr>
        <w:t xml:space="preserve"> </w:t>
      </w:r>
      <w:r>
        <w:rPr>
          <w:sz w:val="18"/>
          <w:szCs w:val="18"/>
        </w:rPr>
        <w:t>at Page 12 of 26 (Apr. 5, 2019)</w:t>
      </w:r>
      <w:r w:rsidRPr="00D96E58">
        <w:t>.</w:t>
      </w:r>
    </w:p>
  </w:footnote>
  <w:footnote w:id="19">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w:t>
      </w:r>
      <w:r>
        <w:rPr>
          <w:sz w:val="18"/>
          <w:szCs w:val="18"/>
        </w:rPr>
        <w:t xml:space="preserve">CenterPoint’s Response to </w:t>
      </w:r>
      <w:r w:rsidRPr="00D476A3">
        <w:rPr>
          <w:sz w:val="18"/>
          <w:szCs w:val="18"/>
        </w:rPr>
        <w:t xml:space="preserve">RFI </w:t>
      </w:r>
      <w:r>
        <w:rPr>
          <w:sz w:val="18"/>
          <w:szCs w:val="18"/>
        </w:rPr>
        <w:t>No. Staff 2-20</w:t>
      </w:r>
      <w:r w:rsidR="00D93365">
        <w:rPr>
          <w:sz w:val="18"/>
          <w:szCs w:val="18"/>
        </w:rPr>
        <w:t xml:space="preserve"> (May 6, 2109)</w:t>
      </w:r>
      <w:r w:rsidRPr="00D476A3">
        <w:rPr>
          <w:sz w:val="18"/>
          <w:szCs w:val="18"/>
        </w:rPr>
        <w:t xml:space="preserve"> (</w:t>
      </w:r>
      <w:r w:rsidRPr="00A662FF">
        <w:rPr>
          <w:sz w:val="18"/>
          <w:szCs w:val="18"/>
        </w:rPr>
        <w:t>Attachment MF-12</w:t>
      </w:r>
      <w:r w:rsidRPr="00D476A3">
        <w:rPr>
          <w:sz w:val="18"/>
          <w:szCs w:val="18"/>
        </w:rPr>
        <w:t>)</w:t>
      </w:r>
      <w:r>
        <w:rPr>
          <w:sz w:val="18"/>
          <w:szCs w:val="18"/>
        </w:rPr>
        <w:t>.</w:t>
      </w:r>
    </w:p>
  </w:footnote>
  <w:footnote w:id="20">
    <w:p w:rsidR="00B80B70" w:rsidRDefault="00B80B70" w:rsidP="001D7741">
      <w:pPr>
        <w:pStyle w:val="FootnoteText"/>
        <w:spacing w:before="120"/>
        <w:ind w:firstLine="720"/>
      </w:pPr>
      <w:r w:rsidRPr="00D476A3">
        <w:rPr>
          <w:rStyle w:val="FootnoteReference"/>
          <w:sz w:val="18"/>
          <w:szCs w:val="18"/>
        </w:rPr>
        <w:footnoteRef/>
      </w:r>
      <w:r>
        <w:rPr>
          <w:sz w:val="18"/>
          <w:szCs w:val="18"/>
        </w:rPr>
        <w:t xml:space="preserve"> Docket No. 46449</w:t>
      </w:r>
      <w:r w:rsidRPr="00D476A3">
        <w:rPr>
          <w:sz w:val="18"/>
          <w:szCs w:val="18"/>
        </w:rPr>
        <w:t xml:space="preserve">, Order on Rehearing, Finding of Fact </w:t>
      </w:r>
      <w:r>
        <w:rPr>
          <w:sz w:val="18"/>
          <w:szCs w:val="18"/>
        </w:rPr>
        <w:t>No. 204</w:t>
      </w:r>
      <w:r w:rsidR="00D93365">
        <w:rPr>
          <w:sz w:val="18"/>
          <w:szCs w:val="18"/>
        </w:rPr>
        <w:t xml:space="preserve"> (Mar. 19, 2018)</w:t>
      </w:r>
      <w:r w:rsidRPr="00D96E58">
        <w:t>.</w:t>
      </w:r>
    </w:p>
  </w:footnote>
  <w:footnote w:id="21">
    <w:p w:rsidR="00B80B70" w:rsidRDefault="00B80B70" w:rsidP="001D7741">
      <w:pPr>
        <w:pStyle w:val="FootnoteText"/>
        <w:spacing w:before="120"/>
        <w:ind w:firstLine="720"/>
      </w:pPr>
      <w:r w:rsidRPr="00D476A3">
        <w:rPr>
          <w:rStyle w:val="FootnoteReference"/>
          <w:sz w:val="18"/>
          <w:szCs w:val="18"/>
        </w:rPr>
        <w:footnoteRef/>
      </w:r>
      <w:r w:rsidRPr="00D476A3">
        <w:rPr>
          <w:sz w:val="18"/>
          <w:szCs w:val="18"/>
        </w:rPr>
        <w:t xml:space="preserve"> Docket No. 40443, Order on Rehearing, Finding of Fact </w:t>
      </w:r>
      <w:r>
        <w:rPr>
          <w:sz w:val="18"/>
          <w:szCs w:val="18"/>
        </w:rPr>
        <w:t xml:space="preserve">No. </w:t>
      </w:r>
      <w:r w:rsidRPr="00D476A3">
        <w:rPr>
          <w:sz w:val="18"/>
          <w:szCs w:val="18"/>
        </w:rPr>
        <w:t>227</w:t>
      </w:r>
      <w:r w:rsidR="00D93365">
        <w:rPr>
          <w:sz w:val="18"/>
          <w:szCs w:val="18"/>
        </w:rPr>
        <w:t xml:space="preserve"> (Mar. 6, 2014)</w:t>
      </w:r>
      <w:r w:rsidRPr="00D96E58">
        <w:t>.</w:t>
      </w:r>
    </w:p>
  </w:footnote>
  <w:footnote w:id="22">
    <w:p w:rsidR="00B80B70" w:rsidRDefault="00B80B70" w:rsidP="001D7741">
      <w:pPr>
        <w:pStyle w:val="FootnoteText"/>
        <w:spacing w:before="120"/>
        <w:ind w:firstLine="720"/>
      </w:pPr>
      <w:r w:rsidRPr="00D476A3">
        <w:rPr>
          <w:rStyle w:val="FootnoteReference"/>
          <w:sz w:val="18"/>
          <w:szCs w:val="18"/>
        </w:rPr>
        <w:footnoteRef/>
      </w:r>
      <w:r>
        <w:rPr>
          <w:sz w:val="18"/>
          <w:szCs w:val="18"/>
        </w:rPr>
        <w:t xml:space="preserve"> Docket No. 46449</w:t>
      </w:r>
      <w:r w:rsidRPr="00D476A3">
        <w:rPr>
          <w:sz w:val="18"/>
          <w:szCs w:val="18"/>
        </w:rPr>
        <w:t xml:space="preserve">, Order on Rehearing, Finding of Fact </w:t>
      </w:r>
      <w:r>
        <w:rPr>
          <w:sz w:val="18"/>
          <w:szCs w:val="18"/>
        </w:rPr>
        <w:t>No. 129</w:t>
      </w:r>
      <w:r w:rsidR="00D93365">
        <w:rPr>
          <w:sz w:val="18"/>
          <w:szCs w:val="18"/>
        </w:rPr>
        <w:t xml:space="preserve"> (Mar. 19, 2018)</w:t>
      </w:r>
      <w:r w:rsidRPr="00D96E58">
        <w:t>.</w:t>
      </w:r>
    </w:p>
  </w:footnote>
  <w:footnote w:id="23">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w:t>
      </w:r>
      <w:r>
        <w:rPr>
          <w:sz w:val="18"/>
          <w:szCs w:val="18"/>
        </w:rPr>
        <w:t>CenterPoint’s</w:t>
      </w:r>
      <w:r w:rsidRPr="00D476A3">
        <w:rPr>
          <w:sz w:val="18"/>
          <w:szCs w:val="18"/>
        </w:rPr>
        <w:t xml:space="preserve"> Response to Staff RFI </w:t>
      </w:r>
      <w:r>
        <w:rPr>
          <w:sz w:val="18"/>
          <w:szCs w:val="18"/>
        </w:rPr>
        <w:t>No. 2-20</w:t>
      </w:r>
      <w:r w:rsidR="00D93365">
        <w:rPr>
          <w:sz w:val="18"/>
          <w:szCs w:val="18"/>
        </w:rPr>
        <w:t xml:space="preserve"> (May 6, 2019)</w:t>
      </w:r>
      <w:r w:rsidRPr="00D476A3">
        <w:rPr>
          <w:sz w:val="18"/>
          <w:szCs w:val="18"/>
        </w:rPr>
        <w:t xml:space="preserve"> (</w:t>
      </w:r>
      <w:r w:rsidRPr="00A662FF">
        <w:rPr>
          <w:sz w:val="18"/>
          <w:szCs w:val="18"/>
        </w:rPr>
        <w:t>Attachment MF-12</w:t>
      </w:r>
      <w:r w:rsidRPr="00D476A3">
        <w:rPr>
          <w:sz w:val="18"/>
          <w:szCs w:val="18"/>
        </w:rPr>
        <w:t>)</w:t>
      </w:r>
      <w:r>
        <w:rPr>
          <w:sz w:val="18"/>
          <w:szCs w:val="18"/>
        </w:rPr>
        <w:t>.</w:t>
      </w:r>
    </w:p>
  </w:footnote>
  <w:footnote w:id="24">
    <w:p w:rsidR="00B80B70" w:rsidRDefault="00B80B70" w:rsidP="001D7741">
      <w:pPr>
        <w:pStyle w:val="FootnoteText"/>
        <w:spacing w:before="120"/>
        <w:ind w:firstLine="720"/>
      </w:pPr>
      <w:r>
        <w:rPr>
          <w:rStyle w:val="FootnoteReference"/>
        </w:rPr>
        <w:footnoteRef/>
      </w:r>
      <w:r>
        <w:t xml:space="preserve"> Application, Schedule II-D-2.</w:t>
      </w:r>
    </w:p>
  </w:footnote>
  <w:footnote w:id="25">
    <w:p w:rsidR="00B80B70" w:rsidRPr="00927CE4" w:rsidRDefault="00B80B70" w:rsidP="001D7741">
      <w:pPr>
        <w:pStyle w:val="FootnoteText"/>
        <w:spacing w:before="120"/>
        <w:ind w:firstLine="720"/>
      </w:pPr>
      <w:r>
        <w:rPr>
          <w:rStyle w:val="FootnoteReference"/>
        </w:rPr>
        <w:footnoteRef/>
      </w:r>
      <w:r>
        <w:t xml:space="preserve"> </w:t>
      </w:r>
      <w:r>
        <w:rPr>
          <w:i/>
        </w:rPr>
        <w:t>Electric Utilities Financial and Operating Reports (i.e. FERC Form 1, USDA_RUS Form 7, RUS 7a, RUS 12a, etc.) Pursuant to Subst. R. §25.73</w:t>
      </w:r>
      <w:r>
        <w:t>, Docket No. 35588</w:t>
      </w:r>
      <w:r w:rsidRPr="00D93365">
        <w:t>.</w:t>
      </w:r>
      <w:r>
        <w:t xml:space="preserve"> </w:t>
      </w:r>
    </w:p>
  </w:footnote>
  <w:footnote w:id="26">
    <w:p w:rsidR="00B80B70" w:rsidRDefault="00B80B70" w:rsidP="000D1320">
      <w:pPr>
        <w:pStyle w:val="FootnoteText"/>
        <w:ind w:firstLine="720"/>
      </w:pPr>
      <w:r>
        <w:rPr>
          <w:rStyle w:val="FootnoteReference"/>
        </w:rPr>
        <w:footnoteRef/>
      </w:r>
      <w:r>
        <w:t xml:space="preserve"> </w:t>
      </w:r>
      <w:r>
        <w:rPr>
          <w:sz w:val="18"/>
          <w:szCs w:val="18"/>
        </w:rPr>
        <w:t>CenterPoint’s</w:t>
      </w:r>
      <w:r w:rsidRPr="00D476A3">
        <w:rPr>
          <w:sz w:val="18"/>
          <w:szCs w:val="18"/>
        </w:rPr>
        <w:t xml:space="preserve"> Response to Staff RFI </w:t>
      </w:r>
      <w:r>
        <w:rPr>
          <w:sz w:val="18"/>
          <w:szCs w:val="18"/>
        </w:rPr>
        <w:t>No. 9-06 (May 28, 2019)</w:t>
      </w:r>
      <w:r w:rsidRPr="00D476A3">
        <w:rPr>
          <w:sz w:val="18"/>
          <w:szCs w:val="18"/>
        </w:rPr>
        <w:t xml:space="preserve"> (</w:t>
      </w:r>
      <w:r w:rsidRPr="00A662FF">
        <w:rPr>
          <w:sz w:val="18"/>
          <w:szCs w:val="18"/>
        </w:rPr>
        <w:t>Attachment MF-13</w:t>
      </w:r>
      <w:r w:rsidRPr="00D476A3">
        <w:rPr>
          <w:sz w:val="18"/>
          <w:szCs w:val="18"/>
        </w:rPr>
        <w:t>)</w:t>
      </w:r>
      <w:r>
        <w:rPr>
          <w:sz w:val="18"/>
          <w:szCs w:val="18"/>
        </w:rPr>
        <w:t>.</w:t>
      </w:r>
    </w:p>
  </w:footnote>
  <w:footnote w:id="27">
    <w:p w:rsidR="00B80B70" w:rsidRDefault="00B80B70" w:rsidP="001D7741">
      <w:pPr>
        <w:pStyle w:val="FootnoteText"/>
        <w:spacing w:before="120"/>
        <w:ind w:firstLine="720"/>
      </w:pPr>
      <w:r>
        <w:rPr>
          <w:rStyle w:val="FootnoteReference"/>
        </w:rPr>
        <w:footnoteRef/>
      </w:r>
      <w:r>
        <w:t xml:space="preserve"> </w:t>
      </w:r>
      <w:r>
        <w:rPr>
          <w:sz w:val="18"/>
          <w:szCs w:val="18"/>
        </w:rPr>
        <w:t>CenterPoint’s</w:t>
      </w:r>
      <w:r w:rsidRPr="00D476A3">
        <w:rPr>
          <w:sz w:val="18"/>
          <w:szCs w:val="18"/>
        </w:rPr>
        <w:t xml:space="preserve"> Response to Staff RFI </w:t>
      </w:r>
      <w:r>
        <w:rPr>
          <w:sz w:val="18"/>
          <w:szCs w:val="18"/>
        </w:rPr>
        <w:t>No. 9-06 (May 31, 2019)</w:t>
      </w:r>
      <w:r w:rsidRPr="00D476A3">
        <w:rPr>
          <w:sz w:val="18"/>
          <w:szCs w:val="18"/>
        </w:rPr>
        <w:t xml:space="preserve"> (</w:t>
      </w:r>
      <w:r w:rsidRPr="00A662FF">
        <w:rPr>
          <w:sz w:val="18"/>
          <w:szCs w:val="18"/>
        </w:rPr>
        <w:t>Attachment MF-13</w:t>
      </w:r>
      <w:r w:rsidRPr="00D476A3">
        <w:rPr>
          <w:sz w:val="18"/>
          <w:szCs w:val="18"/>
        </w:rPr>
        <w:t>)</w:t>
      </w:r>
      <w:r>
        <w:rPr>
          <w:sz w:val="18"/>
          <w:szCs w:val="18"/>
        </w:rPr>
        <w:t>.</w:t>
      </w:r>
    </w:p>
  </w:footnote>
  <w:footnote w:id="28">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w:t>
      </w:r>
      <w:r w:rsidR="00D93365" w:rsidRPr="00D476A3">
        <w:rPr>
          <w:sz w:val="18"/>
          <w:szCs w:val="18"/>
        </w:rPr>
        <w:t xml:space="preserve">Docket No. 40443, Order on Rehearing, Finding of Fact </w:t>
      </w:r>
      <w:r w:rsidR="00D93365">
        <w:rPr>
          <w:sz w:val="18"/>
          <w:szCs w:val="18"/>
        </w:rPr>
        <w:t xml:space="preserve">Nos. </w:t>
      </w:r>
      <w:r w:rsidR="00D93365" w:rsidRPr="00D476A3">
        <w:rPr>
          <w:sz w:val="18"/>
          <w:szCs w:val="18"/>
        </w:rPr>
        <w:t>240</w:t>
      </w:r>
      <w:r w:rsidR="00D93365">
        <w:rPr>
          <w:sz w:val="18"/>
          <w:szCs w:val="18"/>
        </w:rPr>
        <w:t xml:space="preserve"> through 242 (Mar. 6, 2014)</w:t>
      </w:r>
      <w:r w:rsidR="00D93365" w:rsidRPr="00D476A3">
        <w:rPr>
          <w:sz w:val="18"/>
          <w:szCs w:val="18"/>
        </w:rPr>
        <w:t>.</w:t>
      </w:r>
    </w:p>
  </w:footnote>
  <w:footnote w:id="29">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Docket No. 4</w:t>
      </w:r>
      <w:r>
        <w:rPr>
          <w:sz w:val="18"/>
          <w:szCs w:val="18"/>
        </w:rPr>
        <w:t>6449</w:t>
      </w:r>
      <w:r w:rsidRPr="00D476A3">
        <w:rPr>
          <w:sz w:val="18"/>
          <w:szCs w:val="18"/>
        </w:rPr>
        <w:t>, Order o</w:t>
      </w:r>
      <w:r>
        <w:rPr>
          <w:sz w:val="18"/>
          <w:szCs w:val="18"/>
        </w:rPr>
        <w:t>n Rehearing, Finding of Fact</w:t>
      </w:r>
      <w:r w:rsidR="00D93365">
        <w:rPr>
          <w:sz w:val="18"/>
          <w:szCs w:val="18"/>
        </w:rPr>
        <w:t xml:space="preserve"> No.</w:t>
      </w:r>
      <w:r>
        <w:rPr>
          <w:sz w:val="18"/>
          <w:szCs w:val="18"/>
        </w:rPr>
        <w:t xml:space="preserve"> 217</w:t>
      </w:r>
      <w:r w:rsidR="00D93365">
        <w:rPr>
          <w:sz w:val="18"/>
          <w:szCs w:val="18"/>
        </w:rPr>
        <w:t xml:space="preserve"> (Mar. 14, 2018)</w:t>
      </w:r>
      <w:r w:rsidRPr="00D476A3">
        <w:rPr>
          <w:sz w:val="18"/>
          <w:szCs w:val="18"/>
        </w:rPr>
        <w:t>.</w:t>
      </w:r>
    </w:p>
  </w:footnote>
  <w:footnote w:id="30">
    <w:p w:rsidR="00B80B70" w:rsidRDefault="00B80B70" w:rsidP="001D7741">
      <w:pPr>
        <w:pStyle w:val="FootnoteText"/>
        <w:spacing w:before="120"/>
        <w:ind w:firstLine="720"/>
      </w:pPr>
      <w:r>
        <w:rPr>
          <w:rStyle w:val="FootnoteReference"/>
        </w:rPr>
        <w:footnoteRef/>
      </w:r>
      <w:r>
        <w:t xml:space="preserve"> Attachment </w:t>
      </w:r>
      <w:r w:rsidRPr="00A662FF">
        <w:t>MF-14</w:t>
      </w:r>
      <w:r>
        <w:t>.</w:t>
      </w:r>
    </w:p>
  </w:footnote>
  <w:footnote w:id="31">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w:t>
      </w:r>
      <w:r>
        <w:rPr>
          <w:sz w:val="18"/>
          <w:szCs w:val="18"/>
        </w:rPr>
        <w:t xml:space="preserve">Application, Direct Testimony of M. Shane </w:t>
      </w:r>
      <w:proofErr w:type="spellStart"/>
      <w:r>
        <w:rPr>
          <w:sz w:val="18"/>
          <w:szCs w:val="18"/>
        </w:rPr>
        <w:t>Kimzey</w:t>
      </w:r>
      <w:proofErr w:type="spellEnd"/>
      <w:r>
        <w:rPr>
          <w:sz w:val="18"/>
          <w:szCs w:val="18"/>
        </w:rPr>
        <w:t xml:space="preserve"> at Page 18 of 20 (Apr. 5, 2019)</w:t>
      </w:r>
      <w:r w:rsidRPr="00D476A3">
        <w:rPr>
          <w:sz w:val="18"/>
          <w:szCs w:val="18"/>
        </w:rPr>
        <w:t>.</w:t>
      </w:r>
    </w:p>
  </w:footnote>
  <w:footnote w:id="32">
    <w:p w:rsidR="00B80B70" w:rsidRDefault="00B80B70" w:rsidP="001D7741">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Staff 2-15 (May 7, 2019)</w:t>
      </w:r>
      <w:r w:rsidRPr="00D476A3">
        <w:rPr>
          <w:sz w:val="18"/>
          <w:szCs w:val="18"/>
        </w:rPr>
        <w:t xml:space="preserve"> (</w:t>
      </w:r>
      <w:r w:rsidRPr="0046137F">
        <w:rPr>
          <w:sz w:val="18"/>
          <w:szCs w:val="18"/>
        </w:rPr>
        <w:t>Attachment MF-14</w:t>
      </w:r>
      <w:r w:rsidRPr="00D476A3">
        <w:rPr>
          <w:sz w:val="18"/>
          <w:szCs w:val="18"/>
        </w:rPr>
        <w:t>)</w:t>
      </w:r>
      <w:r>
        <w:rPr>
          <w:sz w:val="18"/>
          <w:szCs w:val="18"/>
        </w:rPr>
        <w:t>.</w:t>
      </w:r>
    </w:p>
  </w:footnote>
  <w:footnote w:id="33">
    <w:p w:rsidR="00B80B70" w:rsidRDefault="00B80B70" w:rsidP="001D7741">
      <w:pPr>
        <w:pStyle w:val="FootnoteText"/>
        <w:spacing w:before="120"/>
        <w:ind w:firstLine="720"/>
      </w:pPr>
      <w:r>
        <w:rPr>
          <w:rStyle w:val="FootnoteReference"/>
        </w:rPr>
        <w:footnoteRef/>
      </w:r>
      <w:r>
        <w:t xml:space="preserve"> </w:t>
      </w:r>
      <w:r>
        <w:rPr>
          <w:sz w:val="18"/>
          <w:szCs w:val="18"/>
        </w:rPr>
        <w:t xml:space="preserve">CenterPoint’s Response to </w:t>
      </w:r>
      <w:r w:rsidRPr="00D476A3">
        <w:rPr>
          <w:sz w:val="18"/>
          <w:szCs w:val="18"/>
        </w:rPr>
        <w:t xml:space="preserve">RFI </w:t>
      </w:r>
      <w:r>
        <w:rPr>
          <w:sz w:val="18"/>
          <w:szCs w:val="18"/>
        </w:rPr>
        <w:t>No. Staff 7-02 (May 28, 2019)</w:t>
      </w:r>
      <w:r w:rsidRPr="00D476A3">
        <w:rPr>
          <w:sz w:val="18"/>
          <w:szCs w:val="18"/>
        </w:rPr>
        <w:t xml:space="preserve"> (</w:t>
      </w:r>
      <w:r w:rsidRPr="0046137F">
        <w:rPr>
          <w:sz w:val="18"/>
          <w:szCs w:val="18"/>
        </w:rPr>
        <w:t>Attachment MF-14</w:t>
      </w:r>
      <w:r w:rsidRPr="00D476A3">
        <w:rPr>
          <w:sz w:val="18"/>
          <w:szCs w:val="18"/>
        </w:rPr>
        <w:t>)</w:t>
      </w:r>
      <w:r>
        <w:rPr>
          <w:sz w:val="18"/>
          <w:szCs w:val="18"/>
        </w:rPr>
        <w:t>.</w:t>
      </w:r>
    </w:p>
  </w:footnote>
  <w:footnote w:id="34">
    <w:p w:rsidR="00B80B70" w:rsidRDefault="00B80B70" w:rsidP="001D7741">
      <w:pPr>
        <w:pStyle w:val="FootnoteText"/>
        <w:spacing w:before="120"/>
        <w:ind w:firstLine="720"/>
      </w:pPr>
      <w:r>
        <w:rPr>
          <w:rStyle w:val="FootnoteReference"/>
        </w:rPr>
        <w:footnoteRef/>
      </w:r>
      <w:r>
        <w:t xml:space="preserve"> </w:t>
      </w:r>
      <w:r w:rsidRPr="00927CE4">
        <w:rPr>
          <w:i/>
        </w:rPr>
        <w:t>Ibid</w:t>
      </w:r>
      <w:r>
        <w:t>.</w:t>
      </w:r>
    </w:p>
  </w:footnote>
  <w:footnote w:id="35">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Pr>
          <w:sz w:val="18"/>
          <w:szCs w:val="18"/>
        </w:rPr>
        <w:t xml:space="preserve"> CenterPoint’s</w:t>
      </w:r>
      <w:r w:rsidRPr="00D476A3">
        <w:rPr>
          <w:sz w:val="18"/>
          <w:szCs w:val="18"/>
        </w:rPr>
        <w:t xml:space="preserve"> Response to </w:t>
      </w:r>
      <w:r>
        <w:rPr>
          <w:sz w:val="18"/>
          <w:szCs w:val="18"/>
        </w:rPr>
        <w:t xml:space="preserve">RFI No. </w:t>
      </w:r>
      <w:r w:rsidRPr="00D476A3">
        <w:rPr>
          <w:sz w:val="18"/>
          <w:szCs w:val="18"/>
        </w:rPr>
        <w:t xml:space="preserve">Staff </w:t>
      </w:r>
      <w:r>
        <w:rPr>
          <w:sz w:val="18"/>
          <w:szCs w:val="18"/>
        </w:rPr>
        <w:t>02-37</w:t>
      </w:r>
      <w:r w:rsidR="00A175BA">
        <w:rPr>
          <w:sz w:val="18"/>
          <w:szCs w:val="18"/>
        </w:rPr>
        <w:t xml:space="preserve"> (May 6, 2109)</w:t>
      </w:r>
      <w:r>
        <w:rPr>
          <w:sz w:val="18"/>
          <w:szCs w:val="18"/>
        </w:rPr>
        <w:t xml:space="preserve"> (Attachment </w:t>
      </w:r>
      <w:r w:rsidRPr="00A662FF">
        <w:rPr>
          <w:sz w:val="18"/>
          <w:szCs w:val="18"/>
        </w:rPr>
        <w:t>MF-</w:t>
      </w:r>
      <w:r>
        <w:rPr>
          <w:sz w:val="18"/>
          <w:szCs w:val="18"/>
        </w:rPr>
        <w:t>15</w:t>
      </w:r>
      <w:r w:rsidRPr="00D476A3">
        <w:rPr>
          <w:sz w:val="18"/>
          <w:szCs w:val="18"/>
        </w:rPr>
        <w:t>)</w:t>
      </w:r>
      <w:r>
        <w:rPr>
          <w:sz w:val="18"/>
          <w:szCs w:val="18"/>
        </w:rPr>
        <w:t>.</w:t>
      </w:r>
    </w:p>
  </w:footnote>
  <w:footnote w:id="36">
    <w:p w:rsidR="00B80B70" w:rsidRPr="00D476A3" w:rsidRDefault="00B80B70" w:rsidP="001D7741">
      <w:pPr>
        <w:pStyle w:val="FootnoteText"/>
        <w:spacing w:before="120"/>
        <w:ind w:firstLine="720"/>
        <w:rPr>
          <w:sz w:val="18"/>
          <w:szCs w:val="18"/>
        </w:rPr>
      </w:pPr>
      <w:r w:rsidRPr="00D476A3">
        <w:rPr>
          <w:rStyle w:val="FootnoteReference"/>
          <w:sz w:val="18"/>
          <w:szCs w:val="18"/>
        </w:rPr>
        <w:footnoteRef/>
      </w:r>
      <w:r w:rsidRPr="00D476A3">
        <w:rPr>
          <w:sz w:val="18"/>
          <w:szCs w:val="18"/>
        </w:rPr>
        <w:t xml:space="preserve"> Docket No. 43695, Order on Rehearing, Finding of Fact </w:t>
      </w:r>
      <w:r>
        <w:rPr>
          <w:sz w:val="18"/>
          <w:szCs w:val="18"/>
        </w:rPr>
        <w:t xml:space="preserve">No. </w:t>
      </w:r>
      <w:r w:rsidRPr="00D476A3">
        <w:rPr>
          <w:sz w:val="18"/>
          <w:szCs w:val="18"/>
        </w:rPr>
        <w:t>137</w:t>
      </w:r>
      <w:r w:rsidR="00A175BA">
        <w:rPr>
          <w:sz w:val="18"/>
          <w:szCs w:val="18"/>
        </w:rPr>
        <w:t xml:space="preserve"> (Feb. 23, 2016)</w:t>
      </w:r>
      <w:r w:rsidRPr="00D476A3">
        <w:rPr>
          <w:sz w:val="18"/>
          <w:szCs w:val="18"/>
        </w:rPr>
        <w:t>.</w:t>
      </w:r>
      <w:r>
        <w:rPr>
          <w:sz w:val="18"/>
          <w:szCs w:val="18"/>
        </w:rPr>
        <w:t xml:space="preserve">  Docket No. 46449, Order on Rehearing, Finding of Fact No. 212</w:t>
      </w:r>
      <w:r w:rsidR="00A175BA">
        <w:rPr>
          <w:sz w:val="18"/>
          <w:szCs w:val="18"/>
        </w:rPr>
        <w:t xml:space="preserve"> (Mar. 19, 2018)</w:t>
      </w:r>
      <w:r>
        <w:rPr>
          <w:sz w:val="18"/>
          <w:szCs w:val="18"/>
        </w:rPr>
        <w:t>.</w:t>
      </w:r>
    </w:p>
  </w:footnote>
  <w:footnote w:id="37">
    <w:p w:rsidR="00B80B70" w:rsidRDefault="00B80B70" w:rsidP="001D7741">
      <w:pPr>
        <w:pStyle w:val="FootnoteText"/>
        <w:spacing w:before="120"/>
        <w:ind w:firstLine="720"/>
      </w:pPr>
      <w:r w:rsidRPr="00D476A3">
        <w:rPr>
          <w:rStyle w:val="FootnoteReference"/>
          <w:sz w:val="18"/>
          <w:szCs w:val="18"/>
        </w:rPr>
        <w:footnoteRef/>
      </w:r>
      <w:r w:rsidRPr="00D476A3">
        <w:rPr>
          <w:sz w:val="18"/>
          <w:szCs w:val="18"/>
        </w:rPr>
        <w:t xml:space="preserve"> </w:t>
      </w:r>
      <w:r>
        <w:rPr>
          <w:sz w:val="18"/>
          <w:szCs w:val="18"/>
        </w:rPr>
        <w:t>CenterPoint’s</w:t>
      </w:r>
      <w:r w:rsidRPr="00D476A3">
        <w:rPr>
          <w:sz w:val="18"/>
          <w:szCs w:val="18"/>
        </w:rPr>
        <w:t xml:space="preserve"> Response to </w:t>
      </w:r>
      <w:r>
        <w:rPr>
          <w:sz w:val="18"/>
          <w:szCs w:val="18"/>
        </w:rPr>
        <w:t xml:space="preserve">RFI No. </w:t>
      </w:r>
      <w:r w:rsidRPr="00D476A3">
        <w:rPr>
          <w:sz w:val="18"/>
          <w:szCs w:val="18"/>
        </w:rPr>
        <w:t xml:space="preserve">Staff </w:t>
      </w:r>
      <w:r>
        <w:rPr>
          <w:sz w:val="18"/>
          <w:szCs w:val="18"/>
        </w:rPr>
        <w:t xml:space="preserve">02-37 </w:t>
      </w:r>
      <w:r w:rsidR="00A175BA">
        <w:rPr>
          <w:sz w:val="18"/>
          <w:szCs w:val="18"/>
        </w:rPr>
        <w:t xml:space="preserve">(May 6, 2019) </w:t>
      </w:r>
      <w:r>
        <w:rPr>
          <w:sz w:val="18"/>
          <w:szCs w:val="18"/>
        </w:rPr>
        <w:t>(</w:t>
      </w:r>
      <w:r w:rsidRPr="00D476A3">
        <w:rPr>
          <w:sz w:val="18"/>
          <w:szCs w:val="18"/>
        </w:rPr>
        <w:t xml:space="preserve">Attachment </w:t>
      </w:r>
      <w:r w:rsidRPr="00A662FF">
        <w:rPr>
          <w:sz w:val="18"/>
          <w:szCs w:val="18"/>
        </w:rPr>
        <w:t>MF-15</w:t>
      </w:r>
      <w:r>
        <w:rPr>
          <w:sz w:val="18"/>
          <w:szCs w:val="18"/>
        </w:rPr>
        <w:t>).</w:t>
      </w:r>
    </w:p>
  </w:footnote>
  <w:footnote w:id="38">
    <w:p w:rsidR="00B80B70" w:rsidRDefault="00B80B70" w:rsidP="001D7741">
      <w:pPr>
        <w:pStyle w:val="FootnoteText"/>
        <w:spacing w:before="120"/>
        <w:ind w:firstLine="720"/>
      </w:pPr>
      <w:r>
        <w:rPr>
          <w:rStyle w:val="FootnoteReference"/>
        </w:rPr>
        <w:footnoteRef/>
      </w:r>
      <w:r>
        <w:t xml:space="preserve"> </w:t>
      </w:r>
      <w:r w:rsidRPr="00D476A3">
        <w:rPr>
          <w:sz w:val="18"/>
          <w:szCs w:val="18"/>
        </w:rPr>
        <w:t xml:space="preserve">Docket No. 43695, Order on Rehearing, Finding of Fact </w:t>
      </w:r>
      <w:r>
        <w:rPr>
          <w:sz w:val="18"/>
          <w:szCs w:val="18"/>
        </w:rPr>
        <w:t xml:space="preserve">No. </w:t>
      </w:r>
      <w:r w:rsidRPr="00D476A3">
        <w:rPr>
          <w:sz w:val="18"/>
          <w:szCs w:val="18"/>
        </w:rPr>
        <w:t>137</w:t>
      </w:r>
      <w:r w:rsidR="00A175BA">
        <w:rPr>
          <w:sz w:val="18"/>
          <w:szCs w:val="18"/>
        </w:rPr>
        <w:t xml:space="preserve"> (Feb. 23, 2016)</w:t>
      </w:r>
      <w:r w:rsidRPr="00D476A3">
        <w:rPr>
          <w:sz w:val="18"/>
          <w:szCs w:val="18"/>
        </w:rPr>
        <w:t>.</w:t>
      </w:r>
      <w:r>
        <w:rPr>
          <w:sz w:val="18"/>
          <w:szCs w:val="18"/>
        </w:rPr>
        <w:t xml:space="preserve">  Docket No. 46449, Order on Rehearing, Finding of Fact No. 212</w:t>
      </w:r>
      <w:r w:rsidR="00A175BA">
        <w:rPr>
          <w:sz w:val="18"/>
          <w:szCs w:val="18"/>
        </w:rPr>
        <w:t xml:space="preserve"> (Mar. 19, 2018)</w:t>
      </w:r>
      <w:r>
        <w:rPr>
          <w:sz w:val="18"/>
          <w:szCs w:val="18"/>
        </w:rPr>
        <w:t>.</w:t>
      </w:r>
    </w:p>
  </w:footnote>
  <w:footnote w:id="39">
    <w:p w:rsidR="00B80B70" w:rsidRDefault="00B80B70" w:rsidP="001D7741">
      <w:pPr>
        <w:pStyle w:val="FootnoteText"/>
        <w:spacing w:before="120"/>
        <w:ind w:firstLine="720"/>
      </w:pPr>
      <w:r>
        <w:rPr>
          <w:rStyle w:val="FootnoteReference"/>
        </w:rPr>
        <w:footnoteRef/>
      </w:r>
      <w:r w:rsidR="00A175BA">
        <w:t xml:space="preserve"> Docket No. 46449, SWEPCO</w:t>
      </w:r>
      <w:r>
        <w:t>’s Response to RFI No. Staff 4-37 (Jan. 19, 2017)</w:t>
      </w:r>
      <w:r w:rsidR="00A175BA">
        <w:t xml:space="preserve"> (Attachment MF-15)</w:t>
      </w:r>
      <w:r>
        <w:t>.</w:t>
      </w:r>
    </w:p>
  </w:footnote>
  <w:footnote w:id="40">
    <w:p w:rsidR="00B80B70" w:rsidRDefault="00B80B70" w:rsidP="001D7741">
      <w:pPr>
        <w:pStyle w:val="FootnoteText"/>
        <w:spacing w:before="120"/>
        <w:ind w:left="720"/>
      </w:pPr>
      <w:r>
        <w:rPr>
          <w:rStyle w:val="FootnoteReference"/>
        </w:rPr>
        <w:footnoteRef/>
      </w:r>
      <w:r>
        <w:t xml:space="preserve"> Application, Direct Testimony of Kristie L. Colvin at Page 39 of 107 (Apr. 5, 2019).</w:t>
      </w:r>
    </w:p>
  </w:footnote>
  <w:footnote w:id="41">
    <w:p w:rsidR="00B80B70" w:rsidRPr="00D77453" w:rsidRDefault="00B80B70" w:rsidP="001D7741">
      <w:pPr>
        <w:pStyle w:val="FootnoteText"/>
        <w:spacing w:before="120"/>
        <w:ind w:left="720"/>
        <w:rPr>
          <w:i/>
        </w:rPr>
      </w:pPr>
      <w:r>
        <w:rPr>
          <w:rStyle w:val="FootnoteReference"/>
        </w:rPr>
        <w:footnoteRef/>
      </w:r>
      <w:r>
        <w:t xml:space="preserve"> </w:t>
      </w:r>
      <w:r>
        <w:rPr>
          <w:i/>
        </w:rPr>
        <w:t>Ibid.</w:t>
      </w:r>
    </w:p>
  </w:footnote>
  <w:footnote w:id="42">
    <w:p w:rsidR="00B80B70" w:rsidRPr="003D0BA8" w:rsidRDefault="00B80B70" w:rsidP="001D7741">
      <w:pPr>
        <w:pStyle w:val="FootnoteText"/>
        <w:spacing w:before="120"/>
        <w:ind w:firstLine="720"/>
      </w:pPr>
      <w:r>
        <w:rPr>
          <w:rStyle w:val="FootnoteReference"/>
        </w:rPr>
        <w:footnoteRef/>
      </w:r>
      <w:r>
        <w:t xml:space="preserve"> </w:t>
      </w:r>
      <w:r>
        <w:rPr>
          <w:i/>
        </w:rPr>
        <w:t xml:space="preserve">Application of CenterPoint Energy Houston Electric, LLC, Reliant Energy Retail Services, LLC, and Texas </w:t>
      </w:r>
      <w:proofErr w:type="spellStart"/>
      <w:r>
        <w:rPr>
          <w:i/>
        </w:rPr>
        <w:t>Genco</w:t>
      </w:r>
      <w:proofErr w:type="spellEnd"/>
      <w:r>
        <w:rPr>
          <w:i/>
        </w:rPr>
        <w:t xml:space="preserve">, LP to Determine Stranded Costs and Other True-Up Balances Pursuant to PURA § 39.262, </w:t>
      </w:r>
      <w:r>
        <w:t>Docket No. 29526, Order on Rehearing (Dec. 17, 2004).</w:t>
      </w:r>
    </w:p>
  </w:footnote>
  <w:footnote w:id="43">
    <w:p w:rsidR="00B80B70" w:rsidRDefault="00B80B70" w:rsidP="001D7741">
      <w:pPr>
        <w:pStyle w:val="FootnoteText"/>
        <w:spacing w:before="120"/>
        <w:ind w:left="720"/>
      </w:pPr>
      <w:r>
        <w:rPr>
          <w:rStyle w:val="FootnoteReference"/>
        </w:rPr>
        <w:footnoteRef/>
      </w:r>
      <w:r>
        <w:t xml:space="preserve"> Colvin at 40.</w:t>
      </w:r>
    </w:p>
  </w:footnote>
  <w:footnote w:id="44">
    <w:p w:rsidR="00B80B70" w:rsidRPr="003D0BA8" w:rsidRDefault="00B80B70" w:rsidP="001D7741">
      <w:pPr>
        <w:pStyle w:val="FootnoteText"/>
        <w:spacing w:before="120"/>
        <w:ind w:left="720"/>
        <w:rPr>
          <w:i/>
        </w:rPr>
      </w:pPr>
      <w:r>
        <w:rPr>
          <w:rStyle w:val="FootnoteReference"/>
        </w:rPr>
        <w:footnoteRef/>
      </w:r>
      <w:r>
        <w:t xml:space="preserve"> </w:t>
      </w:r>
      <w:r>
        <w:rPr>
          <w:i/>
        </w:rPr>
        <w:t>Ibid.</w:t>
      </w:r>
    </w:p>
  </w:footnote>
  <w:footnote w:id="45">
    <w:p w:rsidR="00B80B70" w:rsidRDefault="00B80B70" w:rsidP="001D7741">
      <w:pPr>
        <w:pStyle w:val="FootnoteText"/>
        <w:spacing w:before="120"/>
        <w:ind w:left="720"/>
      </w:pPr>
      <w:r>
        <w:rPr>
          <w:rStyle w:val="FootnoteReference"/>
        </w:rPr>
        <w:footnoteRef/>
      </w:r>
      <w:r>
        <w:t xml:space="preserve"> Application, Direct Testimony of Charles W. Pringle at Page 35 of 47 (Apr. 5, 2019).</w:t>
      </w:r>
    </w:p>
  </w:footnote>
  <w:footnote w:id="46">
    <w:p w:rsidR="00B80B70" w:rsidRPr="003D0BA8" w:rsidRDefault="00B80B70" w:rsidP="001D7741">
      <w:pPr>
        <w:pStyle w:val="FootnoteText"/>
        <w:spacing w:before="120"/>
        <w:ind w:firstLine="720"/>
      </w:pPr>
      <w:r>
        <w:rPr>
          <w:rStyle w:val="FootnoteReference"/>
        </w:rPr>
        <w:footnoteRef/>
      </w:r>
      <w:r>
        <w:t xml:space="preserve"> </w:t>
      </w:r>
      <w:r>
        <w:rPr>
          <w:i/>
        </w:rPr>
        <w:t xml:space="preserve">Application of CenterPoint Electric Delivery Company, LLC, for Authority to Change Rates, </w:t>
      </w:r>
      <w:r>
        <w:t>Docket No. 38339, Order on Rehearing (June 23, 2011).</w:t>
      </w:r>
    </w:p>
  </w:footnote>
  <w:footnote w:id="47">
    <w:p w:rsidR="00B80B70" w:rsidRDefault="00B80B70" w:rsidP="001D7741">
      <w:pPr>
        <w:pStyle w:val="FootnoteText"/>
        <w:spacing w:before="120"/>
        <w:ind w:left="720"/>
      </w:pPr>
      <w:r>
        <w:rPr>
          <w:rStyle w:val="FootnoteReference"/>
        </w:rPr>
        <w:footnoteRef/>
      </w:r>
      <w:r>
        <w:t xml:space="preserve"> Application, Schedule II-B-12 (Apr. 5, 2019).</w:t>
      </w:r>
    </w:p>
  </w:footnote>
  <w:footnote w:id="48">
    <w:p w:rsidR="00B80B70" w:rsidRDefault="00B80B70" w:rsidP="001D7741">
      <w:pPr>
        <w:pStyle w:val="FootnoteText"/>
        <w:spacing w:before="120"/>
        <w:ind w:firstLine="720"/>
      </w:pPr>
      <w:r>
        <w:rPr>
          <w:rStyle w:val="FootnoteReference"/>
        </w:rPr>
        <w:footnoteRef/>
      </w:r>
      <w:r>
        <w:t xml:space="preserve"> Attachment </w:t>
      </w:r>
      <w:r w:rsidRPr="00E22B3F">
        <w:t>MF-</w:t>
      </w:r>
      <w:r>
        <w:t>7.</w:t>
      </w:r>
    </w:p>
  </w:footnote>
  <w:footnote w:id="49">
    <w:p w:rsidR="00B80B70" w:rsidRDefault="00B80B70" w:rsidP="001D7741">
      <w:pPr>
        <w:pStyle w:val="FootnoteText"/>
        <w:spacing w:before="120"/>
        <w:ind w:firstLine="720"/>
      </w:pPr>
      <w:r>
        <w:rPr>
          <w:rStyle w:val="FootnoteReference"/>
        </w:rPr>
        <w:footnoteRef/>
      </w:r>
      <w:r>
        <w:t xml:space="preserve"> </w:t>
      </w:r>
      <w:r w:rsidRPr="00667C85">
        <w:rPr>
          <w:i/>
        </w:rPr>
        <w:t>Ibid</w:t>
      </w:r>
      <w:r>
        <w:t>.</w:t>
      </w:r>
    </w:p>
  </w:footnote>
  <w:footnote w:id="50">
    <w:p w:rsidR="00B80B70" w:rsidRDefault="00B80B70" w:rsidP="001D7741">
      <w:pPr>
        <w:pStyle w:val="FootnoteText"/>
        <w:spacing w:before="120"/>
        <w:ind w:firstLine="720"/>
      </w:pPr>
      <w:r>
        <w:rPr>
          <w:rStyle w:val="FootnoteReference"/>
        </w:rPr>
        <w:footnoteRef/>
      </w:r>
      <w:r>
        <w:t xml:space="preserve"> Attachment </w:t>
      </w:r>
      <w:r w:rsidRPr="00E22B3F">
        <w:t>MF-</w:t>
      </w:r>
      <w:r>
        <w:t>8.</w:t>
      </w:r>
    </w:p>
  </w:footnote>
  <w:footnote w:id="51">
    <w:p w:rsidR="00B80B70" w:rsidRDefault="00B80B70" w:rsidP="001D7741">
      <w:pPr>
        <w:pStyle w:val="FootnoteText"/>
        <w:spacing w:before="120"/>
        <w:ind w:firstLine="720"/>
      </w:pPr>
      <w:r>
        <w:rPr>
          <w:rStyle w:val="FootnoteReference"/>
        </w:rPr>
        <w:footnoteRef/>
      </w:r>
      <w:r>
        <w:t xml:space="preserve"> </w:t>
      </w:r>
      <w:r w:rsidRPr="000747AC">
        <w:rPr>
          <w:i/>
        </w:rPr>
        <w:t>Ibid</w:t>
      </w:r>
      <w:r>
        <w:t>.</w:t>
      </w:r>
    </w:p>
  </w:footnote>
  <w:footnote w:id="52">
    <w:p w:rsidR="00B80B70" w:rsidRDefault="00B80B70" w:rsidP="001D7741">
      <w:pPr>
        <w:pStyle w:val="FootnoteText"/>
        <w:spacing w:before="120"/>
        <w:ind w:firstLine="720"/>
      </w:pPr>
      <w:r>
        <w:rPr>
          <w:rStyle w:val="FootnoteReference"/>
        </w:rPr>
        <w:footnoteRef/>
      </w:r>
      <w:r>
        <w:t xml:space="preserve"> Attachment </w:t>
      </w:r>
      <w:r w:rsidRPr="00E22B3F">
        <w:t>MF-1</w:t>
      </w:r>
      <w:r>
        <w:t>.</w:t>
      </w:r>
    </w:p>
  </w:footnote>
  <w:footnote w:id="53">
    <w:p w:rsidR="00B80B70" w:rsidRDefault="00B80B70" w:rsidP="001D7741">
      <w:pPr>
        <w:pStyle w:val="FootnoteText"/>
        <w:spacing w:before="120"/>
        <w:ind w:firstLine="720"/>
      </w:pPr>
      <w:r>
        <w:rPr>
          <w:rStyle w:val="FootnoteReference"/>
        </w:rPr>
        <w:footnoteRef/>
      </w:r>
      <w:r>
        <w:t xml:space="preserve"> </w:t>
      </w:r>
      <w:r>
        <w:rPr>
          <w:sz w:val="18"/>
          <w:szCs w:val="18"/>
        </w:rPr>
        <w:t>CenterPoint’s</w:t>
      </w:r>
      <w:r w:rsidRPr="00D476A3">
        <w:rPr>
          <w:sz w:val="18"/>
          <w:szCs w:val="18"/>
        </w:rPr>
        <w:t xml:space="preserve"> Response to Staff RFI </w:t>
      </w:r>
      <w:r>
        <w:rPr>
          <w:sz w:val="18"/>
          <w:szCs w:val="18"/>
        </w:rPr>
        <w:t>No. 7-02 (May 28, 2019)</w:t>
      </w:r>
      <w:r w:rsidRPr="00D476A3">
        <w:rPr>
          <w:sz w:val="18"/>
          <w:szCs w:val="18"/>
        </w:rPr>
        <w:t xml:space="preserve"> </w:t>
      </w:r>
      <w:r w:rsidRPr="00E22B3F">
        <w:rPr>
          <w:sz w:val="18"/>
          <w:szCs w:val="18"/>
        </w:rPr>
        <w:t>(Attachment MF-14</w:t>
      </w:r>
      <w:r w:rsidRPr="00D476A3">
        <w:rPr>
          <w:sz w:val="18"/>
          <w:szCs w:val="18"/>
        </w:rPr>
        <w:t>)</w:t>
      </w:r>
      <w:r>
        <w:rPr>
          <w:sz w:val="18"/>
          <w:szCs w:val="18"/>
        </w:rPr>
        <w:t>.</w:t>
      </w:r>
    </w:p>
  </w:footnote>
  <w:footnote w:id="54">
    <w:p w:rsidR="00B80B70" w:rsidRDefault="00B80B70" w:rsidP="001D7741">
      <w:pPr>
        <w:pStyle w:val="FootnoteText"/>
        <w:spacing w:before="120"/>
        <w:ind w:firstLine="720"/>
      </w:pPr>
      <w:r>
        <w:rPr>
          <w:rStyle w:val="FootnoteReference"/>
        </w:rPr>
        <w:footnoteRef/>
      </w:r>
      <w:r>
        <w:t xml:space="preserve"> </w:t>
      </w:r>
      <w:r w:rsidRPr="00D476A3">
        <w:rPr>
          <w:sz w:val="18"/>
          <w:szCs w:val="18"/>
        </w:rPr>
        <w:t xml:space="preserve">Attachment </w:t>
      </w:r>
      <w:r w:rsidRPr="00E22B3F">
        <w:rPr>
          <w:sz w:val="18"/>
          <w:szCs w:val="18"/>
        </w:rPr>
        <w:t>MF-9</w:t>
      </w:r>
      <w:r>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tabs>
        <w:tab w:val="center" w:pos="4320"/>
        <w:tab w:val="right" w:pos="864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pBdr>
        <w:bottom w:val="single" w:sz="24" w:space="1" w:color="auto"/>
      </w:pBdr>
      <w:tabs>
        <w:tab w:val="right" w:pos="9216"/>
      </w:tabs>
      <w:spacing w:after="120" w:line="240" w:lineRule="exact"/>
    </w:pPr>
    <w:r>
      <w:t>DOCKET NO. 22352 - CENTRAL POWER &amp; LIGHT CO.</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38</w:t>
    </w:r>
    <w:r>
      <w:rPr>
        <w:rStyle w:val="PageNumber"/>
      </w:rPr>
      <w:fldChar w:fldCharType="end"/>
    </w:r>
  </w:p>
  <w:p w:rsidR="00B80B70" w:rsidRDefault="00B80B70">
    <w:pPr>
      <w:tabs>
        <w:tab w:val="center" w:pos="4320"/>
        <w:tab w:val="right"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F5C" w:rsidRDefault="00081F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Pr="007D1DD3" w:rsidRDefault="00B80B70">
    <w:pPr>
      <w:pBdr>
        <w:bottom w:val="single" w:sz="24" w:space="0" w:color="auto"/>
      </w:pBdr>
      <w:tabs>
        <w:tab w:val="right" w:pos="9216"/>
      </w:tabs>
      <w:spacing w:after="120" w:line="240" w:lineRule="exact"/>
      <w:rPr>
        <w:rFonts w:cs="Times New Roman"/>
      </w:rPr>
    </w:pPr>
    <w:r>
      <w:rPr>
        <w:rFonts w:cs="Times New Roman"/>
      </w:rPr>
      <w:t xml:space="preserve">DOCKET NO. 49421 – CENTERPOINT ENERGY HOUSTON ELECTRIC, LLC </w:t>
    </w:r>
    <w:r w:rsidRPr="007D1DD3">
      <w:rPr>
        <w:rFonts w:cs="Times New Roman"/>
      </w:rPr>
      <w:tab/>
      <w:t xml:space="preserve">Page </w:t>
    </w:r>
    <w:r w:rsidRPr="007D1DD3">
      <w:rPr>
        <w:rStyle w:val="PageNumber"/>
        <w:rFonts w:cs="Times New Roman"/>
      </w:rPr>
      <w:fldChar w:fldCharType="begin"/>
    </w:r>
    <w:r w:rsidRPr="007D1DD3">
      <w:rPr>
        <w:rStyle w:val="PageNumber"/>
        <w:rFonts w:cs="Times New Roman"/>
      </w:rPr>
      <w:instrText xml:space="preserve"> PAGE </w:instrText>
    </w:r>
    <w:r w:rsidRPr="007D1DD3">
      <w:rPr>
        <w:rStyle w:val="PageNumber"/>
        <w:rFonts w:cs="Times New Roman"/>
      </w:rPr>
      <w:fldChar w:fldCharType="separate"/>
    </w:r>
    <w:r w:rsidR="007B79C0">
      <w:rPr>
        <w:rStyle w:val="PageNumber"/>
        <w:rFonts w:cs="Times New Roman"/>
        <w:noProof/>
      </w:rPr>
      <w:t>3</w:t>
    </w:r>
    <w:r w:rsidRPr="007D1DD3">
      <w:rPr>
        <w:rStyle w:val="PageNumber"/>
        <w:rFonts w:cs="Times New Roman"/>
      </w:rPr>
      <w:fldChar w:fldCharType="end"/>
    </w:r>
    <w:r w:rsidRPr="007D1DD3">
      <w:rPr>
        <w:rStyle w:val="PageNumber"/>
        <w:rFonts w:cs="Times New Roman"/>
      </w:rPr>
      <w:t xml:space="preserve"> of </w:t>
    </w:r>
    <w:r w:rsidRPr="007D1DD3">
      <w:rPr>
        <w:rStyle w:val="PageNumber"/>
        <w:rFonts w:cs="Times New Roman"/>
      </w:rPr>
      <w:fldChar w:fldCharType="begin"/>
    </w:r>
    <w:r w:rsidRPr="007D1DD3">
      <w:rPr>
        <w:rStyle w:val="PageNumber"/>
        <w:rFonts w:cs="Times New Roman"/>
      </w:rPr>
      <w:instrText xml:space="preserve"> NUMPAGES </w:instrText>
    </w:r>
    <w:r w:rsidRPr="007D1DD3">
      <w:rPr>
        <w:rStyle w:val="PageNumber"/>
        <w:rFonts w:cs="Times New Roman"/>
      </w:rPr>
      <w:fldChar w:fldCharType="separate"/>
    </w:r>
    <w:r w:rsidR="007B79C0">
      <w:rPr>
        <w:rStyle w:val="PageNumber"/>
        <w:rFonts w:cs="Times New Roman"/>
        <w:noProof/>
      </w:rPr>
      <w:t>37</w:t>
    </w:r>
    <w:r w:rsidRPr="007D1DD3">
      <w:rPr>
        <w:rStyle w:val="PageNumber"/>
        <w:rFonts w:cs="Times New Roman"/>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spacing w:line="240" w:lineRule="exact"/>
      <w:rPr>
        <w:rFonts w:ascii="Courier" w:hAnsi="Courier"/>
      </w:rPr>
    </w:pPr>
    <w:r>
      <w:rPr>
        <w:rFonts w:ascii="Courier" w:hAnsi="Courier"/>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Pr="00BB3475" w:rsidRDefault="00B80B70" w:rsidP="00E22B3F">
    <w:pPr>
      <w:pBdr>
        <w:bottom w:val="single" w:sz="24" w:space="0" w:color="auto"/>
      </w:pBdr>
      <w:tabs>
        <w:tab w:val="right" w:pos="9216"/>
      </w:tabs>
      <w:spacing w:after="120" w:line="240" w:lineRule="exact"/>
      <w:jc w:val="right"/>
      <w:rPr>
        <w:rFonts w:cs="Times New Roman"/>
      </w:rPr>
    </w:pPr>
    <w:r>
      <w:rPr>
        <w:rFonts w:cs="Times New Roman"/>
      </w:rPr>
      <w:t>DOCKET NO. 49421</w:t>
    </w:r>
    <w:r w:rsidRPr="00BB3475">
      <w:rPr>
        <w:rFonts w:cs="Times New Roman"/>
      </w:rPr>
      <w:t xml:space="preserve"> – </w:t>
    </w:r>
    <w:r>
      <w:rPr>
        <w:rFonts w:cs="Times New Roman"/>
      </w:rPr>
      <w:t xml:space="preserve">CENTERPOINT ENERGY HOUSTON ELECTRIC, LLC </w:t>
    </w:r>
    <w:r w:rsidRPr="00BB3475">
      <w:rPr>
        <w:rFonts w:cs="Times New Roman"/>
      </w:rPr>
      <w:tab/>
      <w:t xml:space="preserve">Page </w:t>
    </w:r>
    <w:r w:rsidRPr="00BB3475">
      <w:rPr>
        <w:rStyle w:val="PageNumber"/>
        <w:rFonts w:cs="Times New Roman"/>
      </w:rPr>
      <w:fldChar w:fldCharType="begin"/>
    </w:r>
    <w:r w:rsidRPr="00BB3475">
      <w:rPr>
        <w:rStyle w:val="PageNumber"/>
        <w:rFonts w:cs="Times New Roman"/>
      </w:rPr>
      <w:instrText xml:space="preserve"> PAGE </w:instrText>
    </w:r>
    <w:r w:rsidRPr="00BB3475">
      <w:rPr>
        <w:rStyle w:val="PageNumber"/>
        <w:rFonts w:cs="Times New Roman"/>
      </w:rPr>
      <w:fldChar w:fldCharType="separate"/>
    </w:r>
    <w:r w:rsidR="007B79C0">
      <w:rPr>
        <w:rStyle w:val="PageNumber"/>
        <w:rFonts w:cs="Times New Roman"/>
        <w:noProof/>
      </w:rPr>
      <w:t>30</w:t>
    </w:r>
    <w:r w:rsidRPr="00BB3475">
      <w:rPr>
        <w:rStyle w:val="PageNumber"/>
        <w:rFonts w:cs="Times New Roman"/>
      </w:rPr>
      <w:fldChar w:fldCharType="end"/>
    </w:r>
    <w:r w:rsidRPr="00BB3475">
      <w:rPr>
        <w:rStyle w:val="PageNumber"/>
        <w:rFonts w:cs="Times New Roman"/>
      </w:rPr>
      <w:t xml:space="preserve"> of </w:t>
    </w:r>
    <w:r w:rsidRPr="00BB3475">
      <w:rPr>
        <w:rStyle w:val="PageNumber"/>
        <w:rFonts w:cs="Times New Roman"/>
      </w:rPr>
      <w:fldChar w:fldCharType="begin"/>
    </w:r>
    <w:r w:rsidRPr="00BB3475">
      <w:rPr>
        <w:rStyle w:val="PageNumber"/>
        <w:rFonts w:cs="Times New Roman"/>
      </w:rPr>
      <w:instrText xml:space="preserve"> NUMPAGES </w:instrText>
    </w:r>
    <w:r w:rsidRPr="00BB3475">
      <w:rPr>
        <w:rStyle w:val="PageNumber"/>
        <w:rFonts w:cs="Times New Roman"/>
      </w:rPr>
      <w:fldChar w:fldCharType="separate"/>
    </w:r>
    <w:r w:rsidR="007B79C0">
      <w:rPr>
        <w:rStyle w:val="PageNumber"/>
        <w:rFonts w:cs="Times New Roman"/>
        <w:noProof/>
      </w:rPr>
      <w:t>37</w:t>
    </w:r>
    <w:r w:rsidRPr="00BB3475">
      <w:rPr>
        <w:rStyle w:val="PageNumber"/>
        <w:rFonts w:cs="Times New Roman"/>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70" w:rsidRDefault="00B80B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02524"/>
    <w:multiLevelType w:val="hybridMultilevel"/>
    <w:tmpl w:val="B6182BA0"/>
    <w:lvl w:ilvl="0" w:tplc="FE7457E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C152D8"/>
    <w:multiLevelType w:val="singleLevel"/>
    <w:tmpl w:val="E2D6D98A"/>
    <w:lvl w:ilvl="0">
      <w:start w:val="17"/>
      <w:numFmt w:val="upperLetter"/>
      <w:lvlText w:val="%1."/>
      <w:lvlJc w:val="left"/>
      <w:pPr>
        <w:tabs>
          <w:tab w:val="num" w:pos="720"/>
        </w:tabs>
        <w:ind w:left="720" w:hanging="720"/>
      </w:pPr>
      <w:rPr>
        <w:rFonts w:hint="default"/>
        <w:b/>
      </w:rPr>
    </w:lvl>
  </w:abstractNum>
  <w:abstractNum w:abstractNumId="3" w15:restartNumberingAfterBreak="0">
    <w:nsid w:val="0A8F3D5E"/>
    <w:multiLevelType w:val="singleLevel"/>
    <w:tmpl w:val="FB189008"/>
    <w:lvl w:ilvl="0">
      <w:start w:val="1"/>
      <w:numFmt w:val="decimal"/>
      <w:pStyle w:val="FOFNumbered"/>
      <w:lvlText w:val="%1."/>
      <w:lvlJc w:val="left"/>
      <w:pPr>
        <w:tabs>
          <w:tab w:val="num" w:pos="720"/>
        </w:tabs>
        <w:ind w:left="720" w:hanging="720"/>
      </w:pPr>
      <w:rPr>
        <w:rFonts w:hint="default"/>
        <w:b w:val="0"/>
        <w:i w:val="0"/>
      </w:rPr>
    </w:lvl>
  </w:abstractNum>
  <w:abstractNum w:abstractNumId="4" w15:restartNumberingAfterBreak="0">
    <w:nsid w:val="19161230"/>
    <w:multiLevelType w:val="hybridMultilevel"/>
    <w:tmpl w:val="E780BA9A"/>
    <w:lvl w:ilvl="0" w:tplc="23FCDCB0">
      <w:start w:val="1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F2D1A"/>
    <w:multiLevelType w:val="hybridMultilevel"/>
    <w:tmpl w:val="E376D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217AAA"/>
    <w:multiLevelType w:val="singleLevel"/>
    <w:tmpl w:val="51E65072"/>
    <w:lvl w:ilvl="0">
      <w:start w:val="1"/>
      <w:numFmt w:val="upperLetter"/>
      <w:lvlText w:val="%1."/>
      <w:lvlJc w:val="left"/>
      <w:pPr>
        <w:tabs>
          <w:tab w:val="num" w:pos="720"/>
        </w:tabs>
        <w:ind w:left="720" w:hanging="720"/>
      </w:pPr>
      <w:rPr>
        <w:rFonts w:hint="default"/>
      </w:rPr>
    </w:lvl>
  </w:abstractNum>
  <w:abstractNum w:abstractNumId="7" w15:restartNumberingAfterBreak="0">
    <w:nsid w:val="2FB45A70"/>
    <w:multiLevelType w:val="hybridMultilevel"/>
    <w:tmpl w:val="E780BA9A"/>
    <w:lvl w:ilvl="0" w:tplc="23FCDCB0">
      <w:start w:val="1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2E5EFC"/>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9" w15:restartNumberingAfterBreak="0">
    <w:nsid w:val="321E6791"/>
    <w:multiLevelType w:val="singleLevel"/>
    <w:tmpl w:val="CC36A9F8"/>
    <w:lvl w:ilvl="0">
      <w:start w:val="17"/>
      <w:numFmt w:val="upperLetter"/>
      <w:pStyle w:val="Heading3"/>
      <w:lvlText w:val="%1."/>
      <w:lvlJc w:val="left"/>
      <w:pPr>
        <w:tabs>
          <w:tab w:val="num" w:pos="360"/>
        </w:tabs>
        <w:ind w:left="360" w:hanging="360"/>
      </w:pPr>
      <w:rPr>
        <w:rFonts w:ascii="Times" w:hAnsi="Times" w:hint="default"/>
        <w:b/>
        <w:sz w:val="24"/>
      </w:rPr>
    </w:lvl>
  </w:abstractNum>
  <w:abstractNum w:abstractNumId="10" w15:restartNumberingAfterBreak="0">
    <w:nsid w:val="456E538A"/>
    <w:multiLevelType w:val="hybridMultilevel"/>
    <w:tmpl w:val="E780BA9A"/>
    <w:lvl w:ilvl="0" w:tplc="23FCDCB0">
      <w:start w:val="1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3545C7"/>
    <w:multiLevelType w:val="singleLevel"/>
    <w:tmpl w:val="4FD2AA16"/>
    <w:lvl w:ilvl="0">
      <w:start w:val="1"/>
      <w:numFmt w:val="upperLetter"/>
      <w:lvlText w:val="%1."/>
      <w:lvlJc w:val="left"/>
      <w:pPr>
        <w:tabs>
          <w:tab w:val="num" w:pos="720"/>
        </w:tabs>
        <w:ind w:left="720" w:hanging="720"/>
      </w:pPr>
      <w:rPr>
        <w:rFonts w:hint="default"/>
      </w:rPr>
    </w:lvl>
  </w:abstractNum>
  <w:abstractNum w:abstractNumId="12" w15:restartNumberingAfterBreak="0">
    <w:nsid w:val="49A16B59"/>
    <w:multiLevelType w:val="singleLevel"/>
    <w:tmpl w:val="2150763C"/>
    <w:lvl w:ilvl="0">
      <w:start w:val="1"/>
      <w:numFmt w:val="upperLetter"/>
      <w:lvlText w:val="%1."/>
      <w:lvlJc w:val="left"/>
      <w:pPr>
        <w:tabs>
          <w:tab w:val="num" w:pos="720"/>
        </w:tabs>
        <w:ind w:left="720" w:hanging="720"/>
      </w:pPr>
      <w:rPr>
        <w:rFonts w:hint="default"/>
      </w:rPr>
    </w:lvl>
  </w:abstractNum>
  <w:abstractNum w:abstractNumId="13" w15:restartNumberingAfterBreak="0">
    <w:nsid w:val="4AD21D9A"/>
    <w:multiLevelType w:val="hybridMultilevel"/>
    <w:tmpl w:val="E76CB99E"/>
    <w:lvl w:ilvl="0" w:tplc="2E6A08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DE47521"/>
    <w:multiLevelType w:val="hybridMultilevel"/>
    <w:tmpl w:val="E780BA9A"/>
    <w:lvl w:ilvl="0" w:tplc="23FCDCB0">
      <w:start w:val="1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C14F6C"/>
    <w:multiLevelType w:val="singleLevel"/>
    <w:tmpl w:val="52AC103A"/>
    <w:lvl w:ilvl="0">
      <w:start w:val="17"/>
      <w:numFmt w:val="upperLetter"/>
      <w:lvlText w:val="%1."/>
      <w:lvlJc w:val="left"/>
      <w:pPr>
        <w:tabs>
          <w:tab w:val="num" w:pos="360"/>
        </w:tabs>
        <w:ind w:left="360" w:hanging="360"/>
      </w:pPr>
      <w:rPr>
        <w:rFonts w:hint="default"/>
        <w:b/>
      </w:rPr>
    </w:lvl>
  </w:abstractNum>
  <w:abstractNum w:abstractNumId="16" w15:restartNumberingAfterBreak="0">
    <w:nsid w:val="57424BCB"/>
    <w:multiLevelType w:val="singleLevel"/>
    <w:tmpl w:val="C714DDE8"/>
    <w:lvl w:ilvl="0">
      <w:start w:val="17"/>
      <w:numFmt w:val="upperLetter"/>
      <w:lvlText w:val="%1."/>
      <w:lvlJc w:val="left"/>
      <w:pPr>
        <w:tabs>
          <w:tab w:val="num" w:pos="720"/>
        </w:tabs>
        <w:ind w:left="720" w:hanging="720"/>
      </w:pPr>
      <w:rPr>
        <w:rFonts w:hint="default"/>
      </w:rPr>
    </w:lvl>
  </w:abstractNum>
  <w:abstractNum w:abstractNumId="17" w15:restartNumberingAfterBreak="0">
    <w:nsid w:val="5E8C64F2"/>
    <w:multiLevelType w:val="singleLevel"/>
    <w:tmpl w:val="04090015"/>
    <w:lvl w:ilvl="0">
      <w:start w:val="1"/>
      <w:numFmt w:val="upperLetter"/>
      <w:lvlText w:val="%1."/>
      <w:lvlJc w:val="left"/>
      <w:pPr>
        <w:tabs>
          <w:tab w:val="num" w:pos="360"/>
        </w:tabs>
        <w:ind w:left="360" w:hanging="360"/>
      </w:pPr>
      <w:rPr>
        <w:rFonts w:hint="default"/>
        <w:b w:val="0"/>
      </w:rPr>
    </w:lvl>
  </w:abstractNum>
  <w:abstractNum w:abstractNumId="18" w15:restartNumberingAfterBreak="0">
    <w:nsid w:val="69B805C1"/>
    <w:multiLevelType w:val="hybridMultilevel"/>
    <w:tmpl w:val="1F405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CA1E9B"/>
    <w:multiLevelType w:val="hybridMultilevel"/>
    <w:tmpl w:val="F2DC6608"/>
    <w:lvl w:ilvl="0" w:tplc="B6186136">
      <w:start w:val="2"/>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BAD7E49"/>
    <w:multiLevelType w:val="singleLevel"/>
    <w:tmpl w:val="3134190A"/>
    <w:lvl w:ilvl="0">
      <w:start w:val="17"/>
      <w:numFmt w:val="upperLetter"/>
      <w:lvlText w:val="%1."/>
      <w:lvlJc w:val="left"/>
      <w:pPr>
        <w:tabs>
          <w:tab w:val="num" w:pos="720"/>
        </w:tabs>
        <w:ind w:left="720" w:hanging="720"/>
      </w:pPr>
      <w:rPr>
        <w:rFonts w:hint="default"/>
      </w:rPr>
    </w:lvl>
  </w:abstractNum>
  <w:abstractNum w:abstractNumId="21" w15:restartNumberingAfterBreak="0">
    <w:nsid w:val="7F257FBE"/>
    <w:multiLevelType w:val="hybridMultilevel"/>
    <w:tmpl w:val="56929326"/>
    <w:lvl w:ilvl="0" w:tplc="CA8CE35E">
      <w:start w:val="1"/>
      <w:numFmt w:val="decimal"/>
      <w:lvlText w:val="%1."/>
      <w:lvlJc w:val="left"/>
      <w:pPr>
        <w:tabs>
          <w:tab w:val="num" w:pos="2160"/>
        </w:tabs>
        <w:ind w:left="1440" w:hanging="720"/>
      </w:pPr>
      <w:rPr>
        <w:rFonts w:hint="default"/>
      </w:rPr>
    </w:lvl>
    <w:lvl w:ilvl="1" w:tplc="4F5274BE">
      <w:start w:val="1"/>
      <w:numFmt w:val="lowerLetter"/>
      <w:lvlText w:val="%2."/>
      <w:lvlJc w:val="left"/>
      <w:pPr>
        <w:tabs>
          <w:tab w:val="num" w:pos="2520"/>
        </w:tabs>
        <w:ind w:left="2160" w:hanging="720"/>
      </w:pPr>
      <w:rPr>
        <w:rFonts w:hint="default"/>
      </w:rPr>
    </w:lvl>
    <w:lvl w:ilvl="2" w:tplc="5BD6A856">
      <w:start w:val="1"/>
      <w:numFmt w:val="lowerRoman"/>
      <w:lvlText w:val="%3."/>
      <w:lvlJc w:val="right"/>
      <w:pPr>
        <w:ind w:left="216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
  </w:num>
  <w:num w:numId="3">
    <w:abstractNumId w:val="6"/>
  </w:num>
  <w:num w:numId="4">
    <w:abstractNumId w:val="12"/>
  </w:num>
  <w:num w:numId="5">
    <w:abstractNumId w:val="15"/>
  </w:num>
  <w:num w:numId="6">
    <w:abstractNumId w:val="9"/>
  </w:num>
  <w:num w:numId="7">
    <w:abstractNumId w:val="16"/>
  </w:num>
  <w:num w:numId="8">
    <w:abstractNumId w:val="11"/>
  </w:num>
  <w:num w:numId="9">
    <w:abstractNumId w:val="17"/>
  </w:num>
  <w:num w:numId="10">
    <w:abstractNumId w:val="18"/>
  </w:num>
  <w:num w:numId="1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12">
    <w:abstractNumId w:val="13"/>
  </w:num>
  <w:num w:numId="13">
    <w:abstractNumId w:val="8"/>
  </w:num>
  <w:num w:numId="14">
    <w:abstractNumId w:val="5"/>
  </w:num>
  <w:num w:numId="15">
    <w:abstractNumId w:val="21"/>
  </w:num>
  <w:num w:numId="16">
    <w:abstractNumId w:val="1"/>
  </w:num>
  <w:num w:numId="17">
    <w:abstractNumId w:val="3"/>
  </w:num>
  <w:num w:numId="18">
    <w:abstractNumId w:val="19"/>
  </w:num>
  <w:num w:numId="19">
    <w:abstractNumId w:val="14"/>
  </w:num>
  <w:num w:numId="20">
    <w:abstractNumId w:val="7"/>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415"/>
    <w:rsid w:val="00000DB9"/>
    <w:rsid w:val="0000182C"/>
    <w:rsid w:val="000031D1"/>
    <w:rsid w:val="00003622"/>
    <w:rsid w:val="0000423E"/>
    <w:rsid w:val="00004469"/>
    <w:rsid w:val="000044C6"/>
    <w:rsid w:val="00004960"/>
    <w:rsid w:val="00005DDC"/>
    <w:rsid w:val="00005F92"/>
    <w:rsid w:val="00007019"/>
    <w:rsid w:val="00007E62"/>
    <w:rsid w:val="0001061E"/>
    <w:rsid w:val="00010FAD"/>
    <w:rsid w:val="00011F2D"/>
    <w:rsid w:val="000133F3"/>
    <w:rsid w:val="0001346B"/>
    <w:rsid w:val="00013654"/>
    <w:rsid w:val="00013902"/>
    <w:rsid w:val="00015000"/>
    <w:rsid w:val="00015056"/>
    <w:rsid w:val="00015E45"/>
    <w:rsid w:val="00017690"/>
    <w:rsid w:val="00017B0A"/>
    <w:rsid w:val="000202DF"/>
    <w:rsid w:val="00020C30"/>
    <w:rsid w:val="00021227"/>
    <w:rsid w:val="00021D7B"/>
    <w:rsid w:val="0002262C"/>
    <w:rsid w:val="00023172"/>
    <w:rsid w:val="000237D8"/>
    <w:rsid w:val="00023F57"/>
    <w:rsid w:val="00024BDF"/>
    <w:rsid w:val="00026B2B"/>
    <w:rsid w:val="00026E5A"/>
    <w:rsid w:val="00027643"/>
    <w:rsid w:val="00027700"/>
    <w:rsid w:val="00030144"/>
    <w:rsid w:val="000302D4"/>
    <w:rsid w:val="0003145C"/>
    <w:rsid w:val="00032355"/>
    <w:rsid w:val="000326C8"/>
    <w:rsid w:val="00032840"/>
    <w:rsid w:val="00033411"/>
    <w:rsid w:val="00034325"/>
    <w:rsid w:val="00035A5B"/>
    <w:rsid w:val="0003604B"/>
    <w:rsid w:val="00036FC0"/>
    <w:rsid w:val="000421C2"/>
    <w:rsid w:val="0004225D"/>
    <w:rsid w:val="000427B3"/>
    <w:rsid w:val="00042E06"/>
    <w:rsid w:val="000438AE"/>
    <w:rsid w:val="0004412A"/>
    <w:rsid w:val="00044674"/>
    <w:rsid w:val="00044CD5"/>
    <w:rsid w:val="00044EB9"/>
    <w:rsid w:val="0004699B"/>
    <w:rsid w:val="00046F8E"/>
    <w:rsid w:val="00047DFD"/>
    <w:rsid w:val="000502CE"/>
    <w:rsid w:val="00052276"/>
    <w:rsid w:val="000532E6"/>
    <w:rsid w:val="00053A89"/>
    <w:rsid w:val="00053F5E"/>
    <w:rsid w:val="000548B5"/>
    <w:rsid w:val="00055078"/>
    <w:rsid w:val="00056668"/>
    <w:rsid w:val="0005674F"/>
    <w:rsid w:val="00056EBB"/>
    <w:rsid w:val="00057D42"/>
    <w:rsid w:val="00060179"/>
    <w:rsid w:val="000603FA"/>
    <w:rsid w:val="0006193D"/>
    <w:rsid w:val="000626DB"/>
    <w:rsid w:val="00062ED0"/>
    <w:rsid w:val="00064EA5"/>
    <w:rsid w:val="00065CBF"/>
    <w:rsid w:val="00067ADF"/>
    <w:rsid w:val="00070CB1"/>
    <w:rsid w:val="000724F7"/>
    <w:rsid w:val="00072C79"/>
    <w:rsid w:val="00073793"/>
    <w:rsid w:val="000745EB"/>
    <w:rsid w:val="000747AC"/>
    <w:rsid w:val="00074DDE"/>
    <w:rsid w:val="00076CD7"/>
    <w:rsid w:val="00077424"/>
    <w:rsid w:val="00077E8A"/>
    <w:rsid w:val="00080715"/>
    <w:rsid w:val="00080E1B"/>
    <w:rsid w:val="00081F5C"/>
    <w:rsid w:val="00082F45"/>
    <w:rsid w:val="00083324"/>
    <w:rsid w:val="0008536B"/>
    <w:rsid w:val="00085E21"/>
    <w:rsid w:val="0008743D"/>
    <w:rsid w:val="00087735"/>
    <w:rsid w:val="000879DC"/>
    <w:rsid w:val="00087C14"/>
    <w:rsid w:val="00087D8C"/>
    <w:rsid w:val="00087FCE"/>
    <w:rsid w:val="0009009F"/>
    <w:rsid w:val="00090CB4"/>
    <w:rsid w:val="0009312F"/>
    <w:rsid w:val="000937E3"/>
    <w:rsid w:val="00093948"/>
    <w:rsid w:val="000944F6"/>
    <w:rsid w:val="00094CA1"/>
    <w:rsid w:val="00095431"/>
    <w:rsid w:val="000954E1"/>
    <w:rsid w:val="00096809"/>
    <w:rsid w:val="00097011"/>
    <w:rsid w:val="000A09F8"/>
    <w:rsid w:val="000A14DF"/>
    <w:rsid w:val="000A1750"/>
    <w:rsid w:val="000A185C"/>
    <w:rsid w:val="000A2012"/>
    <w:rsid w:val="000A25A1"/>
    <w:rsid w:val="000A2A5C"/>
    <w:rsid w:val="000A2C79"/>
    <w:rsid w:val="000A2CFE"/>
    <w:rsid w:val="000A2E5A"/>
    <w:rsid w:val="000A3F61"/>
    <w:rsid w:val="000A41DF"/>
    <w:rsid w:val="000A466C"/>
    <w:rsid w:val="000A49FB"/>
    <w:rsid w:val="000A4D87"/>
    <w:rsid w:val="000A6A1E"/>
    <w:rsid w:val="000A779B"/>
    <w:rsid w:val="000A77DF"/>
    <w:rsid w:val="000B0F64"/>
    <w:rsid w:val="000B0F89"/>
    <w:rsid w:val="000B18F0"/>
    <w:rsid w:val="000B20A0"/>
    <w:rsid w:val="000B2284"/>
    <w:rsid w:val="000B280D"/>
    <w:rsid w:val="000B354C"/>
    <w:rsid w:val="000B3622"/>
    <w:rsid w:val="000B3D0F"/>
    <w:rsid w:val="000B5801"/>
    <w:rsid w:val="000B6FAE"/>
    <w:rsid w:val="000B7FB1"/>
    <w:rsid w:val="000C0F1C"/>
    <w:rsid w:val="000C1276"/>
    <w:rsid w:val="000C1B69"/>
    <w:rsid w:val="000C1EB7"/>
    <w:rsid w:val="000C339F"/>
    <w:rsid w:val="000C340C"/>
    <w:rsid w:val="000C3AE1"/>
    <w:rsid w:val="000C46F2"/>
    <w:rsid w:val="000C5B4D"/>
    <w:rsid w:val="000C5E3C"/>
    <w:rsid w:val="000C79F8"/>
    <w:rsid w:val="000C7C0C"/>
    <w:rsid w:val="000C7EF5"/>
    <w:rsid w:val="000D0697"/>
    <w:rsid w:val="000D0A42"/>
    <w:rsid w:val="000D1320"/>
    <w:rsid w:val="000D18BA"/>
    <w:rsid w:val="000D1C5A"/>
    <w:rsid w:val="000D5C1E"/>
    <w:rsid w:val="000E1619"/>
    <w:rsid w:val="000E40B4"/>
    <w:rsid w:val="000E4E08"/>
    <w:rsid w:val="000E5D3A"/>
    <w:rsid w:val="000E643D"/>
    <w:rsid w:val="000E72B7"/>
    <w:rsid w:val="000E7410"/>
    <w:rsid w:val="000E7544"/>
    <w:rsid w:val="000F1966"/>
    <w:rsid w:val="000F1B0D"/>
    <w:rsid w:val="000F281E"/>
    <w:rsid w:val="000F319F"/>
    <w:rsid w:val="000F3AE1"/>
    <w:rsid w:val="000F4D30"/>
    <w:rsid w:val="000F50B0"/>
    <w:rsid w:val="000F52B7"/>
    <w:rsid w:val="000F5A55"/>
    <w:rsid w:val="000F650F"/>
    <w:rsid w:val="000F7705"/>
    <w:rsid w:val="000F7D66"/>
    <w:rsid w:val="0010080D"/>
    <w:rsid w:val="00101C32"/>
    <w:rsid w:val="00103A07"/>
    <w:rsid w:val="00103AEC"/>
    <w:rsid w:val="00103C41"/>
    <w:rsid w:val="001051FB"/>
    <w:rsid w:val="00105600"/>
    <w:rsid w:val="00105E13"/>
    <w:rsid w:val="001115B8"/>
    <w:rsid w:val="00112C92"/>
    <w:rsid w:val="00112D0D"/>
    <w:rsid w:val="00113AC6"/>
    <w:rsid w:val="00113C6B"/>
    <w:rsid w:val="00115456"/>
    <w:rsid w:val="00115A82"/>
    <w:rsid w:val="001160FE"/>
    <w:rsid w:val="001167E5"/>
    <w:rsid w:val="0011732D"/>
    <w:rsid w:val="0012158A"/>
    <w:rsid w:val="001218D4"/>
    <w:rsid w:val="00122959"/>
    <w:rsid w:val="00122E8E"/>
    <w:rsid w:val="001243E2"/>
    <w:rsid w:val="00124A59"/>
    <w:rsid w:val="00125FA5"/>
    <w:rsid w:val="00126696"/>
    <w:rsid w:val="00126EEE"/>
    <w:rsid w:val="001277A4"/>
    <w:rsid w:val="00127F8F"/>
    <w:rsid w:val="00127FB0"/>
    <w:rsid w:val="001300DB"/>
    <w:rsid w:val="001305EB"/>
    <w:rsid w:val="00130D21"/>
    <w:rsid w:val="00131AC2"/>
    <w:rsid w:val="00133A74"/>
    <w:rsid w:val="00134136"/>
    <w:rsid w:val="001349EF"/>
    <w:rsid w:val="00135724"/>
    <w:rsid w:val="00135A38"/>
    <w:rsid w:val="00135C4E"/>
    <w:rsid w:val="00136A54"/>
    <w:rsid w:val="00137A6F"/>
    <w:rsid w:val="001401A5"/>
    <w:rsid w:val="0014105A"/>
    <w:rsid w:val="00141F33"/>
    <w:rsid w:val="00142134"/>
    <w:rsid w:val="00143320"/>
    <w:rsid w:val="001434DD"/>
    <w:rsid w:val="00144C64"/>
    <w:rsid w:val="00144DF3"/>
    <w:rsid w:val="00144E25"/>
    <w:rsid w:val="00144ECE"/>
    <w:rsid w:val="0014540B"/>
    <w:rsid w:val="001455F6"/>
    <w:rsid w:val="001459FD"/>
    <w:rsid w:val="00147A1B"/>
    <w:rsid w:val="00151511"/>
    <w:rsid w:val="001518BC"/>
    <w:rsid w:val="0015190D"/>
    <w:rsid w:val="00151F16"/>
    <w:rsid w:val="001531BE"/>
    <w:rsid w:val="00153AD9"/>
    <w:rsid w:val="00153F8C"/>
    <w:rsid w:val="00154A9C"/>
    <w:rsid w:val="00154C89"/>
    <w:rsid w:val="00155769"/>
    <w:rsid w:val="00155874"/>
    <w:rsid w:val="00160745"/>
    <w:rsid w:val="00160A75"/>
    <w:rsid w:val="0016224B"/>
    <w:rsid w:val="001635BA"/>
    <w:rsid w:val="00163A5C"/>
    <w:rsid w:val="00163D6A"/>
    <w:rsid w:val="00164022"/>
    <w:rsid w:val="001651C4"/>
    <w:rsid w:val="00165C47"/>
    <w:rsid w:val="0016671F"/>
    <w:rsid w:val="0016787E"/>
    <w:rsid w:val="0017010B"/>
    <w:rsid w:val="0017032F"/>
    <w:rsid w:val="00170932"/>
    <w:rsid w:val="001716A2"/>
    <w:rsid w:val="00171C27"/>
    <w:rsid w:val="00172465"/>
    <w:rsid w:val="00174A69"/>
    <w:rsid w:val="00175014"/>
    <w:rsid w:val="00176437"/>
    <w:rsid w:val="00176AAF"/>
    <w:rsid w:val="00180259"/>
    <w:rsid w:val="001823E6"/>
    <w:rsid w:val="0018327A"/>
    <w:rsid w:val="0018328C"/>
    <w:rsid w:val="001835CF"/>
    <w:rsid w:val="00184162"/>
    <w:rsid w:val="001847A2"/>
    <w:rsid w:val="00184BC3"/>
    <w:rsid w:val="001868FA"/>
    <w:rsid w:val="001877C8"/>
    <w:rsid w:val="00187FE7"/>
    <w:rsid w:val="00190EB7"/>
    <w:rsid w:val="001919E2"/>
    <w:rsid w:val="001922BA"/>
    <w:rsid w:val="0019272D"/>
    <w:rsid w:val="0019350C"/>
    <w:rsid w:val="00193957"/>
    <w:rsid w:val="00193A40"/>
    <w:rsid w:val="00194DE4"/>
    <w:rsid w:val="00196FD4"/>
    <w:rsid w:val="00197054"/>
    <w:rsid w:val="00197DA0"/>
    <w:rsid w:val="001A13FA"/>
    <w:rsid w:val="001A1755"/>
    <w:rsid w:val="001A4642"/>
    <w:rsid w:val="001A5155"/>
    <w:rsid w:val="001A5234"/>
    <w:rsid w:val="001A5371"/>
    <w:rsid w:val="001A5A18"/>
    <w:rsid w:val="001A655F"/>
    <w:rsid w:val="001A76D3"/>
    <w:rsid w:val="001A7F28"/>
    <w:rsid w:val="001B0DBE"/>
    <w:rsid w:val="001B35D9"/>
    <w:rsid w:val="001B37FB"/>
    <w:rsid w:val="001B4007"/>
    <w:rsid w:val="001B4930"/>
    <w:rsid w:val="001B5944"/>
    <w:rsid w:val="001B5C7B"/>
    <w:rsid w:val="001B5F6E"/>
    <w:rsid w:val="001B630B"/>
    <w:rsid w:val="001B6E1A"/>
    <w:rsid w:val="001B73B9"/>
    <w:rsid w:val="001C015A"/>
    <w:rsid w:val="001C0DF0"/>
    <w:rsid w:val="001C193E"/>
    <w:rsid w:val="001C19EE"/>
    <w:rsid w:val="001C1C34"/>
    <w:rsid w:val="001C28D2"/>
    <w:rsid w:val="001C40F7"/>
    <w:rsid w:val="001C4AA0"/>
    <w:rsid w:val="001C4B8A"/>
    <w:rsid w:val="001C6A67"/>
    <w:rsid w:val="001D0888"/>
    <w:rsid w:val="001D14E0"/>
    <w:rsid w:val="001D1615"/>
    <w:rsid w:val="001D1695"/>
    <w:rsid w:val="001D2347"/>
    <w:rsid w:val="001D2FE5"/>
    <w:rsid w:val="001D31B1"/>
    <w:rsid w:val="001D437C"/>
    <w:rsid w:val="001D450D"/>
    <w:rsid w:val="001D459A"/>
    <w:rsid w:val="001D49A6"/>
    <w:rsid w:val="001D4F0D"/>
    <w:rsid w:val="001D573F"/>
    <w:rsid w:val="001D5A1E"/>
    <w:rsid w:val="001D69CA"/>
    <w:rsid w:val="001D728F"/>
    <w:rsid w:val="001D7431"/>
    <w:rsid w:val="001D7741"/>
    <w:rsid w:val="001E065F"/>
    <w:rsid w:val="001E222B"/>
    <w:rsid w:val="001E2349"/>
    <w:rsid w:val="001E5633"/>
    <w:rsid w:val="001E6DEE"/>
    <w:rsid w:val="001E72F3"/>
    <w:rsid w:val="001E78B5"/>
    <w:rsid w:val="001E7DED"/>
    <w:rsid w:val="001F0B33"/>
    <w:rsid w:val="001F1305"/>
    <w:rsid w:val="001F16DA"/>
    <w:rsid w:val="001F3C03"/>
    <w:rsid w:val="001F462F"/>
    <w:rsid w:val="001F4800"/>
    <w:rsid w:val="001F51CD"/>
    <w:rsid w:val="001F5F92"/>
    <w:rsid w:val="001F66C6"/>
    <w:rsid w:val="001F7041"/>
    <w:rsid w:val="002008AE"/>
    <w:rsid w:val="00201151"/>
    <w:rsid w:val="00202A13"/>
    <w:rsid w:val="00203CDA"/>
    <w:rsid w:val="0020436B"/>
    <w:rsid w:val="00204D49"/>
    <w:rsid w:val="00205388"/>
    <w:rsid w:val="0020538E"/>
    <w:rsid w:val="00205878"/>
    <w:rsid w:val="00205EE5"/>
    <w:rsid w:val="00206300"/>
    <w:rsid w:val="00206AB6"/>
    <w:rsid w:val="002110B2"/>
    <w:rsid w:val="00212066"/>
    <w:rsid w:val="0021243E"/>
    <w:rsid w:val="002124F5"/>
    <w:rsid w:val="0021280B"/>
    <w:rsid w:val="002135B4"/>
    <w:rsid w:val="00213B0B"/>
    <w:rsid w:val="00213C74"/>
    <w:rsid w:val="00214733"/>
    <w:rsid w:val="0021564B"/>
    <w:rsid w:val="00215B60"/>
    <w:rsid w:val="00215BC8"/>
    <w:rsid w:val="0021669A"/>
    <w:rsid w:val="00220196"/>
    <w:rsid w:val="00221B73"/>
    <w:rsid w:val="00222BE3"/>
    <w:rsid w:val="00222FF7"/>
    <w:rsid w:val="00223772"/>
    <w:rsid w:val="00223F51"/>
    <w:rsid w:val="00224848"/>
    <w:rsid w:val="00225B44"/>
    <w:rsid w:val="002263B5"/>
    <w:rsid w:val="002268F3"/>
    <w:rsid w:val="00226BB4"/>
    <w:rsid w:val="00227247"/>
    <w:rsid w:val="002301D8"/>
    <w:rsid w:val="0023036B"/>
    <w:rsid w:val="00230937"/>
    <w:rsid w:val="0023144C"/>
    <w:rsid w:val="002336AD"/>
    <w:rsid w:val="0023393E"/>
    <w:rsid w:val="00235238"/>
    <w:rsid w:val="00235473"/>
    <w:rsid w:val="00235ACD"/>
    <w:rsid w:val="002370B0"/>
    <w:rsid w:val="00237BB6"/>
    <w:rsid w:val="00237D81"/>
    <w:rsid w:val="002401DE"/>
    <w:rsid w:val="002404E7"/>
    <w:rsid w:val="00240785"/>
    <w:rsid w:val="00241C6C"/>
    <w:rsid w:val="00242745"/>
    <w:rsid w:val="00242937"/>
    <w:rsid w:val="00242D9D"/>
    <w:rsid w:val="0024453C"/>
    <w:rsid w:val="00244B43"/>
    <w:rsid w:val="0024530A"/>
    <w:rsid w:val="002460D1"/>
    <w:rsid w:val="00246248"/>
    <w:rsid w:val="00247040"/>
    <w:rsid w:val="00247453"/>
    <w:rsid w:val="00247C6E"/>
    <w:rsid w:val="002512F5"/>
    <w:rsid w:val="00251A78"/>
    <w:rsid w:val="00254129"/>
    <w:rsid w:val="0025491C"/>
    <w:rsid w:val="002554B6"/>
    <w:rsid w:val="00255BF7"/>
    <w:rsid w:val="002567D4"/>
    <w:rsid w:val="00256D06"/>
    <w:rsid w:val="0025708A"/>
    <w:rsid w:val="00261510"/>
    <w:rsid w:val="002617F6"/>
    <w:rsid w:val="0026182E"/>
    <w:rsid w:val="002630D4"/>
    <w:rsid w:val="002632EB"/>
    <w:rsid w:val="002638B5"/>
    <w:rsid w:val="00263C3E"/>
    <w:rsid w:val="00264AA9"/>
    <w:rsid w:val="00264F81"/>
    <w:rsid w:val="00265091"/>
    <w:rsid w:val="00266011"/>
    <w:rsid w:val="00270422"/>
    <w:rsid w:val="0027067A"/>
    <w:rsid w:val="00270C95"/>
    <w:rsid w:val="00272318"/>
    <w:rsid w:val="00272330"/>
    <w:rsid w:val="00272BCA"/>
    <w:rsid w:val="00273664"/>
    <w:rsid w:val="00273D51"/>
    <w:rsid w:val="002762A1"/>
    <w:rsid w:val="002778BD"/>
    <w:rsid w:val="00280654"/>
    <w:rsid w:val="00280B88"/>
    <w:rsid w:val="0028381E"/>
    <w:rsid w:val="002861F7"/>
    <w:rsid w:val="0028626E"/>
    <w:rsid w:val="00287348"/>
    <w:rsid w:val="0028791F"/>
    <w:rsid w:val="00287A5B"/>
    <w:rsid w:val="00287AC9"/>
    <w:rsid w:val="0029026B"/>
    <w:rsid w:val="0029068A"/>
    <w:rsid w:val="00290BB9"/>
    <w:rsid w:val="00291387"/>
    <w:rsid w:val="002933F8"/>
    <w:rsid w:val="00293419"/>
    <w:rsid w:val="00294FF3"/>
    <w:rsid w:val="002962B8"/>
    <w:rsid w:val="0029680C"/>
    <w:rsid w:val="00296E68"/>
    <w:rsid w:val="002975D2"/>
    <w:rsid w:val="002A0FB3"/>
    <w:rsid w:val="002A13F7"/>
    <w:rsid w:val="002A162B"/>
    <w:rsid w:val="002A1D42"/>
    <w:rsid w:val="002A2E68"/>
    <w:rsid w:val="002A33FA"/>
    <w:rsid w:val="002A3507"/>
    <w:rsid w:val="002A367C"/>
    <w:rsid w:val="002A3D1B"/>
    <w:rsid w:val="002A3F18"/>
    <w:rsid w:val="002A4202"/>
    <w:rsid w:val="002A4D09"/>
    <w:rsid w:val="002A5725"/>
    <w:rsid w:val="002A6634"/>
    <w:rsid w:val="002B0E8B"/>
    <w:rsid w:val="002B158E"/>
    <w:rsid w:val="002B26B7"/>
    <w:rsid w:val="002B2B1A"/>
    <w:rsid w:val="002B2E8D"/>
    <w:rsid w:val="002B4530"/>
    <w:rsid w:val="002B47C9"/>
    <w:rsid w:val="002B534F"/>
    <w:rsid w:val="002B5802"/>
    <w:rsid w:val="002B5CED"/>
    <w:rsid w:val="002B6062"/>
    <w:rsid w:val="002B6911"/>
    <w:rsid w:val="002B7D9E"/>
    <w:rsid w:val="002C0E1A"/>
    <w:rsid w:val="002C0F6F"/>
    <w:rsid w:val="002C17E0"/>
    <w:rsid w:val="002C1BC2"/>
    <w:rsid w:val="002C256A"/>
    <w:rsid w:val="002C2800"/>
    <w:rsid w:val="002C5C89"/>
    <w:rsid w:val="002C6F1C"/>
    <w:rsid w:val="002D0245"/>
    <w:rsid w:val="002D21FC"/>
    <w:rsid w:val="002D316E"/>
    <w:rsid w:val="002D462C"/>
    <w:rsid w:val="002D6A9C"/>
    <w:rsid w:val="002E001F"/>
    <w:rsid w:val="002E0A0E"/>
    <w:rsid w:val="002E16F8"/>
    <w:rsid w:val="002E1941"/>
    <w:rsid w:val="002E1B2E"/>
    <w:rsid w:val="002E2092"/>
    <w:rsid w:val="002E20E1"/>
    <w:rsid w:val="002E4565"/>
    <w:rsid w:val="002E4D31"/>
    <w:rsid w:val="002E5233"/>
    <w:rsid w:val="002E5439"/>
    <w:rsid w:val="002E5780"/>
    <w:rsid w:val="002E5B66"/>
    <w:rsid w:val="002E6E9A"/>
    <w:rsid w:val="002E7EA9"/>
    <w:rsid w:val="002F0404"/>
    <w:rsid w:val="002F25D5"/>
    <w:rsid w:val="002F2BA7"/>
    <w:rsid w:val="002F3A6F"/>
    <w:rsid w:val="002F5B1C"/>
    <w:rsid w:val="002F5B29"/>
    <w:rsid w:val="002F5B58"/>
    <w:rsid w:val="002F6038"/>
    <w:rsid w:val="0030014B"/>
    <w:rsid w:val="003018C4"/>
    <w:rsid w:val="00301D8D"/>
    <w:rsid w:val="00302AD0"/>
    <w:rsid w:val="00302F8B"/>
    <w:rsid w:val="00303A70"/>
    <w:rsid w:val="003051E3"/>
    <w:rsid w:val="00305F5E"/>
    <w:rsid w:val="00306898"/>
    <w:rsid w:val="0030736C"/>
    <w:rsid w:val="00307FF4"/>
    <w:rsid w:val="00310E36"/>
    <w:rsid w:val="00313DC9"/>
    <w:rsid w:val="00315403"/>
    <w:rsid w:val="003158DF"/>
    <w:rsid w:val="00315994"/>
    <w:rsid w:val="00315B60"/>
    <w:rsid w:val="0031624D"/>
    <w:rsid w:val="00316798"/>
    <w:rsid w:val="00317186"/>
    <w:rsid w:val="00320437"/>
    <w:rsid w:val="0032064A"/>
    <w:rsid w:val="00320DC2"/>
    <w:rsid w:val="00320DE8"/>
    <w:rsid w:val="003211F7"/>
    <w:rsid w:val="00322F6F"/>
    <w:rsid w:val="00323E81"/>
    <w:rsid w:val="00323EDE"/>
    <w:rsid w:val="00324976"/>
    <w:rsid w:val="00324D73"/>
    <w:rsid w:val="0032629C"/>
    <w:rsid w:val="00326509"/>
    <w:rsid w:val="00331310"/>
    <w:rsid w:val="00331C96"/>
    <w:rsid w:val="00331DE8"/>
    <w:rsid w:val="003342B3"/>
    <w:rsid w:val="00334684"/>
    <w:rsid w:val="003358C5"/>
    <w:rsid w:val="003374CF"/>
    <w:rsid w:val="00337EA7"/>
    <w:rsid w:val="003413D1"/>
    <w:rsid w:val="00341A0C"/>
    <w:rsid w:val="00342B85"/>
    <w:rsid w:val="00344207"/>
    <w:rsid w:val="003445E1"/>
    <w:rsid w:val="00345A77"/>
    <w:rsid w:val="003477D4"/>
    <w:rsid w:val="003478E2"/>
    <w:rsid w:val="003519F7"/>
    <w:rsid w:val="00351CED"/>
    <w:rsid w:val="00352B22"/>
    <w:rsid w:val="00352B2A"/>
    <w:rsid w:val="00352D4A"/>
    <w:rsid w:val="00353BB0"/>
    <w:rsid w:val="00353FBE"/>
    <w:rsid w:val="003540B6"/>
    <w:rsid w:val="00355D06"/>
    <w:rsid w:val="00355F81"/>
    <w:rsid w:val="00356CCF"/>
    <w:rsid w:val="0035713A"/>
    <w:rsid w:val="0035756E"/>
    <w:rsid w:val="00357DE7"/>
    <w:rsid w:val="00357DEE"/>
    <w:rsid w:val="00360DCA"/>
    <w:rsid w:val="003614E9"/>
    <w:rsid w:val="00361D44"/>
    <w:rsid w:val="003620E8"/>
    <w:rsid w:val="0036261C"/>
    <w:rsid w:val="003640B3"/>
    <w:rsid w:val="00365CF4"/>
    <w:rsid w:val="003675A1"/>
    <w:rsid w:val="00370569"/>
    <w:rsid w:val="00372623"/>
    <w:rsid w:val="0037307A"/>
    <w:rsid w:val="00373429"/>
    <w:rsid w:val="0037467D"/>
    <w:rsid w:val="003755F7"/>
    <w:rsid w:val="003757F7"/>
    <w:rsid w:val="00375D29"/>
    <w:rsid w:val="003762C8"/>
    <w:rsid w:val="003764CE"/>
    <w:rsid w:val="00376655"/>
    <w:rsid w:val="003766B2"/>
    <w:rsid w:val="00376F2D"/>
    <w:rsid w:val="00377CFC"/>
    <w:rsid w:val="003804C0"/>
    <w:rsid w:val="003809A2"/>
    <w:rsid w:val="00380D8A"/>
    <w:rsid w:val="00381693"/>
    <w:rsid w:val="00381B3D"/>
    <w:rsid w:val="003836D6"/>
    <w:rsid w:val="003837FB"/>
    <w:rsid w:val="00383871"/>
    <w:rsid w:val="003838A5"/>
    <w:rsid w:val="003838DE"/>
    <w:rsid w:val="003852C2"/>
    <w:rsid w:val="00386208"/>
    <w:rsid w:val="00390AD0"/>
    <w:rsid w:val="00391026"/>
    <w:rsid w:val="00392CA5"/>
    <w:rsid w:val="00392DAA"/>
    <w:rsid w:val="00392FB1"/>
    <w:rsid w:val="00393351"/>
    <w:rsid w:val="003933AF"/>
    <w:rsid w:val="0039394E"/>
    <w:rsid w:val="003953A9"/>
    <w:rsid w:val="00395564"/>
    <w:rsid w:val="00395662"/>
    <w:rsid w:val="00395689"/>
    <w:rsid w:val="00395816"/>
    <w:rsid w:val="00396234"/>
    <w:rsid w:val="0039630C"/>
    <w:rsid w:val="0039685E"/>
    <w:rsid w:val="003A001F"/>
    <w:rsid w:val="003A0A1C"/>
    <w:rsid w:val="003A0A50"/>
    <w:rsid w:val="003A1252"/>
    <w:rsid w:val="003A12C5"/>
    <w:rsid w:val="003A1B46"/>
    <w:rsid w:val="003A29B8"/>
    <w:rsid w:val="003A408D"/>
    <w:rsid w:val="003A48A8"/>
    <w:rsid w:val="003A5F50"/>
    <w:rsid w:val="003A63DF"/>
    <w:rsid w:val="003A73D2"/>
    <w:rsid w:val="003B0467"/>
    <w:rsid w:val="003B096A"/>
    <w:rsid w:val="003B0D6E"/>
    <w:rsid w:val="003B1341"/>
    <w:rsid w:val="003B140A"/>
    <w:rsid w:val="003B3445"/>
    <w:rsid w:val="003B3620"/>
    <w:rsid w:val="003B408D"/>
    <w:rsid w:val="003B5304"/>
    <w:rsid w:val="003B58BE"/>
    <w:rsid w:val="003B5C80"/>
    <w:rsid w:val="003B6E76"/>
    <w:rsid w:val="003B7944"/>
    <w:rsid w:val="003C07A5"/>
    <w:rsid w:val="003C0C94"/>
    <w:rsid w:val="003C2A52"/>
    <w:rsid w:val="003C3015"/>
    <w:rsid w:val="003C3124"/>
    <w:rsid w:val="003C31E8"/>
    <w:rsid w:val="003C360A"/>
    <w:rsid w:val="003C3829"/>
    <w:rsid w:val="003C38EE"/>
    <w:rsid w:val="003C40C7"/>
    <w:rsid w:val="003D39C2"/>
    <w:rsid w:val="003D4C69"/>
    <w:rsid w:val="003D5C63"/>
    <w:rsid w:val="003E0161"/>
    <w:rsid w:val="003E3896"/>
    <w:rsid w:val="003E3D10"/>
    <w:rsid w:val="003E4B93"/>
    <w:rsid w:val="003E4F4E"/>
    <w:rsid w:val="003E5EDA"/>
    <w:rsid w:val="003E6980"/>
    <w:rsid w:val="003E6B37"/>
    <w:rsid w:val="003F01FC"/>
    <w:rsid w:val="003F0612"/>
    <w:rsid w:val="003F0BB1"/>
    <w:rsid w:val="003F3D96"/>
    <w:rsid w:val="003F4591"/>
    <w:rsid w:val="003F47B5"/>
    <w:rsid w:val="003F505F"/>
    <w:rsid w:val="003F6541"/>
    <w:rsid w:val="003F6D00"/>
    <w:rsid w:val="00400094"/>
    <w:rsid w:val="00400DDE"/>
    <w:rsid w:val="004018F9"/>
    <w:rsid w:val="0040192A"/>
    <w:rsid w:val="00402BFE"/>
    <w:rsid w:val="00403733"/>
    <w:rsid w:val="00403A09"/>
    <w:rsid w:val="004043E2"/>
    <w:rsid w:val="004060A4"/>
    <w:rsid w:val="00406488"/>
    <w:rsid w:val="004064B5"/>
    <w:rsid w:val="00406D35"/>
    <w:rsid w:val="00407132"/>
    <w:rsid w:val="00407429"/>
    <w:rsid w:val="00407F3D"/>
    <w:rsid w:val="00410B0C"/>
    <w:rsid w:val="004118AA"/>
    <w:rsid w:val="004121D7"/>
    <w:rsid w:val="004124EC"/>
    <w:rsid w:val="004125DB"/>
    <w:rsid w:val="00412849"/>
    <w:rsid w:val="0041299C"/>
    <w:rsid w:val="00412D81"/>
    <w:rsid w:val="00413F12"/>
    <w:rsid w:val="00414850"/>
    <w:rsid w:val="004160D9"/>
    <w:rsid w:val="004173AA"/>
    <w:rsid w:val="00420140"/>
    <w:rsid w:val="004207C9"/>
    <w:rsid w:val="00420898"/>
    <w:rsid w:val="00420B4B"/>
    <w:rsid w:val="00420D4A"/>
    <w:rsid w:val="00422312"/>
    <w:rsid w:val="00422522"/>
    <w:rsid w:val="00422538"/>
    <w:rsid w:val="0042297E"/>
    <w:rsid w:val="00422C06"/>
    <w:rsid w:val="00423FEE"/>
    <w:rsid w:val="004244F2"/>
    <w:rsid w:val="0042489D"/>
    <w:rsid w:val="00424E60"/>
    <w:rsid w:val="00424F51"/>
    <w:rsid w:val="0042613F"/>
    <w:rsid w:val="004269E0"/>
    <w:rsid w:val="00427B91"/>
    <w:rsid w:val="0043064A"/>
    <w:rsid w:val="0043091F"/>
    <w:rsid w:val="00430E92"/>
    <w:rsid w:val="00430F47"/>
    <w:rsid w:val="00431539"/>
    <w:rsid w:val="00431F8E"/>
    <w:rsid w:val="00432027"/>
    <w:rsid w:val="00432577"/>
    <w:rsid w:val="004328B8"/>
    <w:rsid w:val="004329CB"/>
    <w:rsid w:val="00433D98"/>
    <w:rsid w:val="004349C6"/>
    <w:rsid w:val="0043524B"/>
    <w:rsid w:val="0043606C"/>
    <w:rsid w:val="004367F7"/>
    <w:rsid w:val="004375B7"/>
    <w:rsid w:val="004404CD"/>
    <w:rsid w:val="0044085B"/>
    <w:rsid w:val="00440D83"/>
    <w:rsid w:val="00441BC7"/>
    <w:rsid w:val="004436F9"/>
    <w:rsid w:val="00444311"/>
    <w:rsid w:val="00444755"/>
    <w:rsid w:val="00444987"/>
    <w:rsid w:val="0044626B"/>
    <w:rsid w:val="004463B3"/>
    <w:rsid w:val="00447B36"/>
    <w:rsid w:val="00450EBF"/>
    <w:rsid w:val="00451341"/>
    <w:rsid w:val="00452223"/>
    <w:rsid w:val="00452E95"/>
    <w:rsid w:val="0045345F"/>
    <w:rsid w:val="00455A77"/>
    <w:rsid w:val="00455C3E"/>
    <w:rsid w:val="0045611E"/>
    <w:rsid w:val="0045627F"/>
    <w:rsid w:val="00456BED"/>
    <w:rsid w:val="00456D3D"/>
    <w:rsid w:val="00456F0E"/>
    <w:rsid w:val="00457102"/>
    <w:rsid w:val="00460329"/>
    <w:rsid w:val="00460D6A"/>
    <w:rsid w:val="0046137F"/>
    <w:rsid w:val="004624B3"/>
    <w:rsid w:val="00462DF5"/>
    <w:rsid w:val="00462DF9"/>
    <w:rsid w:val="0046302A"/>
    <w:rsid w:val="004633CF"/>
    <w:rsid w:val="004647D2"/>
    <w:rsid w:val="004656F2"/>
    <w:rsid w:val="0046602B"/>
    <w:rsid w:val="0046699A"/>
    <w:rsid w:val="00466A10"/>
    <w:rsid w:val="00467172"/>
    <w:rsid w:val="00471803"/>
    <w:rsid w:val="0047202A"/>
    <w:rsid w:val="004720CB"/>
    <w:rsid w:val="00472295"/>
    <w:rsid w:val="004722EF"/>
    <w:rsid w:val="00472E1B"/>
    <w:rsid w:val="00474A52"/>
    <w:rsid w:val="00474AEC"/>
    <w:rsid w:val="00474FEF"/>
    <w:rsid w:val="0047533B"/>
    <w:rsid w:val="00476F26"/>
    <w:rsid w:val="004772E7"/>
    <w:rsid w:val="0047778F"/>
    <w:rsid w:val="00481FD3"/>
    <w:rsid w:val="00483850"/>
    <w:rsid w:val="00483CE2"/>
    <w:rsid w:val="00484961"/>
    <w:rsid w:val="00486419"/>
    <w:rsid w:val="00486979"/>
    <w:rsid w:val="00487590"/>
    <w:rsid w:val="00487639"/>
    <w:rsid w:val="004877BC"/>
    <w:rsid w:val="0048798E"/>
    <w:rsid w:val="00490CC1"/>
    <w:rsid w:val="00490DCB"/>
    <w:rsid w:val="0049118D"/>
    <w:rsid w:val="0049151B"/>
    <w:rsid w:val="004917CB"/>
    <w:rsid w:val="00491F20"/>
    <w:rsid w:val="004929B7"/>
    <w:rsid w:val="00492A70"/>
    <w:rsid w:val="00492CEE"/>
    <w:rsid w:val="004944F7"/>
    <w:rsid w:val="00494656"/>
    <w:rsid w:val="00494994"/>
    <w:rsid w:val="00494F33"/>
    <w:rsid w:val="004957FA"/>
    <w:rsid w:val="00495CE2"/>
    <w:rsid w:val="00497133"/>
    <w:rsid w:val="00497B69"/>
    <w:rsid w:val="00497E48"/>
    <w:rsid w:val="004A0F9A"/>
    <w:rsid w:val="004A1263"/>
    <w:rsid w:val="004A4080"/>
    <w:rsid w:val="004A4124"/>
    <w:rsid w:val="004A5C6C"/>
    <w:rsid w:val="004A7ACE"/>
    <w:rsid w:val="004B006E"/>
    <w:rsid w:val="004B016E"/>
    <w:rsid w:val="004B1681"/>
    <w:rsid w:val="004B1E9E"/>
    <w:rsid w:val="004B3877"/>
    <w:rsid w:val="004B567F"/>
    <w:rsid w:val="004B5CC7"/>
    <w:rsid w:val="004B6EE1"/>
    <w:rsid w:val="004B7B81"/>
    <w:rsid w:val="004C0DF0"/>
    <w:rsid w:val="004C17B3"/>
    <w:rsid w:val="004C2428"/>
    <w:rsid w:val="004C4295"/>
    <w:rsid w:val="004C550C"/>
    <w:rsid w:val="004C5595"/>
    <w:rsid w:val="004C5CB6"/>
    <w:rsid w:val="004C67E5"/>
    <w:rsid w:val="004C6E38"/>
    <w:rsid w:val="004C779D"/>
    <w:rsid w:val="004C796E"/>
    <w:rsid w:val="004D0127"/>
    <w:rsid w:val="004D2204"/>
    <w:rsid w:val="004D2A2E"/>
    <w:rsid w:val="004D391D"/>
    <w:rsid w:val="004D4C32"/>
    <w:rsid w:val="004D51D4"/>
    <w:rsid w:val="004D5506"/>
    <w:rsid w:val="004D5A65"/>
    <w:rsid w:val="004D5BE4"/>
    <w:rsid w:val="004D7026"/>
    <w:rsid w:val="004D7534"/>
    <w:rsid w:val="004E0183"/>
    <w:rsid w:val="004E084B"/>
    <w:rsid w:val="004E0BDB"/>
    <w:rsid w:val="004E100F"/>
    <w:rsid w:val="004E13BF"/>
    <w:rsid w:val="004E20D6"/>
    <w:rsid w:val="004E33E5"/>
    <w:rsid w:val="004E36F5"/>
    <w:rsid w:val="004E5165"/>
    <w:rsid w:val="004E56F4"/>
    <w:rsid w:val="004E5CB3"/>
    <w:rsid w:val="004E5DE8"/>
    <w:rsid w:val="004F0483"/>
    <w:rsid w:val="004F133A"/>
    <w:rsid w:val="004F3E8F"/>
    <w:rsid w:val="004F415B"/>
    <w:rsid w:val="004F59CE"/>
    <w:rsid w:val="004F5D3E"/>
    <w:rsid w:val="004F5FA6"/>
    <w:rsid w:val="004F67FF"/>
    <w:rsid w:val="004F69EB"/>
    <w:rsid w:val="004F7C1D"/>
    <w:rsid w:val="004F7FE2"/>
    <w:rsid w:val="00500DDA"/>
    <w:rsid w:val="00501524"/>
    <w:rsid w:val="005022C7"/>
    <w:rsid w:val="0050267A"/>
    <w:rsid w:val="0050349B"/>
    <w:rsid w:val="0050573B"/>
    <w:rsid w:val="00505A43"/>
    <w:rsid w:val="00506F45"/>
    <w:rsid w:val="0050798E"/>
    <w:rsid w:val="00510A19"/>
    <w:rsid w:val="005115ED"/>
    <w:rsid w:val="005115F4"/>
    <w:rsid w:val="005123B4"/>
    <w:rsid w:val="00513B23"/>
    <w:rsid w:val="00513F06"/>
    <w:rsid w:val="00514132"/>
    <w:rsid w:val="00515B8C"/>
    <w:rsid w:val="00515CC1"/>
    <w:rsid w:val="00515E65"/>
    <w:rsid w:val="00517C6A"/>
    <w:rsid w:val="00521389"/>
    <w:rsid w:val="005224C4"/>
    <w:rsid w:val="00522A2F"/>
    <w:rsid w:val="00522F29"/>
    <w:rsid w:val="005238A3"/>
    <w:rsid w:val="00524286"/>
    <w:rsid w:val="005254ED"/>
    <w:rsid w:val="00526808"/>
    <w:rsid w:val="0052794E"/>
    <w:rsid w:val="0053082F"/>
    <w:rsid w:val="00532531"/>
    <w:rsid w:val="00532A65"/>
    <w:rsid w:val="00532B9B"/>
    <w:rsid w:val="00534112"/>
    <w:rsid w:val="005351C5"/>
    <w:rsid w:val="00537E97"/>
    <w:rsid w:val="0054087C"/>
    <w:rsid w:val="0054097F"/>
    <w:rsid w:val="005428F8"/>
    <w:rsid w:val="00542963"/>
    <w:rsid w:val="00543843"/>
    <w:rsid w:val="00544209"/>
    <w:rsid w:val="005448F9"/>
    <w:rsid w:val="00544FE6"/>
    <w:rsid w:val="00545203"/>
    <w:rsid w:val="00547650"/>
    <w:rsid w:val="0054770F"/>
    <w:rsid w:val="00550E0D"/>
    <w:rsid w:val="005524FC"/>
    <w:rsid w:val="005529B0"/>
    <w:rsid w:val="005529EA"/>
    <w:rsid w:val="00552CA8"/>
    <w:rsid w:val="0055372E"/>
    <w:rsid w:val="00553A8F"/>
    <w:rsid w:val="00553E81"/>
    <w:rsid w:val="00555CC6"/>
    <w:rsid w:val="0055657C"/>
    <w:rsid w:val="00556653"/>
    <w:rsid w:val="00556F23"/>
    <w:rsid w:val="00560136"/>
    <w:rsid w:val="00560291"/>
    <w:rsid w:val="00560BB8"/>
    <w:rsid w:val="00563312"/>
    <w:rsid w:val="0056386D"/>
    <w:rsid w:val="00565893"/>
    <w:rsid w:val="0056639B"/>
    <w:rsid w:val="00566A84"/>
    <w:rsid w:val="00570722"/>
    <w:rsid w:val="00570E82"/>
    <w:rsid w:val="00571762"/>
    <w:rsid w:val="00573919"/>
    <w:rsid w:val="00574004"/>
    <w:rsid w:val="0057419B"/>
    <w:rsid w:val="00574AAF"/>
    <w:rsid w:val="005750A0"/>
    <w:rsid w:val="00575633"/>
    <w:rsid w:val="00575F0A"/>
    <w:rsid w:val="0057626E"/>
    <w:rsid w:val="005768C4"/>
    <w:rsid w:val="00576BBF"/>
    <w:rsid w:val="00576D8F"/>
    <w:rsid w:val="00576DBD"/>
    <w:rsid w:val="00577479"/>
    <w:rsid w:val="005802FF"/>
    <w:rsid w:val="0058150F"/>
    <w:rsid w:val="0058214C"/>
    <w:rsid w:val="005827AB"/>
    <w:rsid w:val="00582E6B"/>
    <w:rsid w:val="0058378E"/>
    <w:rsid w:val="00584ACF"/>
    <w:rsid w:val="00587134"/>
    <w:rsid w:val="005878EE"/>
    <w:rsid w:val="00587F33"/>
    <w:rsid w:val="00587F8D"/>
    <w:rsid w:val="0059117B"/>
    <w:rsid w:val="005911BF"/>
    <w:rsid w:val="005922BE"/>
    <w:rsid w:val="00593F39"/>
    <w:rsid w:val="00594594"/>
    <w:rsid w:val="00594E0B"/>
    <w:rsid w:val="00594E72"/>
    <w:rsid w:val="00595142"/>
    <w:rsid w:val="00596B7E"/>
    <w:rsid w:val="00596BD9"/>
    <w:rsid w:val="00596F41"/>
    <w:rsid w:val="005A0D62"/>
    <w:rsid w:val="005A0FB5"/>
    <w:rsid w:val="005A3611"/>
    <w:rsid w:val="005A64DE"/>
    <w:rsid w:val="005A7CBF"/>
    <w:rsid w:val="005B0ED9"/>
    <w:rsid w:val="005B12DE"/>
    <w:rsid w:val="005B13DB"/>
    <w:rsid w:val="005B195E"/>
    <w:rsid w:val="005B2B33"/>
    <w:rsid w:val="005B2BE1"/>
    <w:rsid w:val="005B36E5"/>
    <w:rsid w:val="005B5924"/>
    <w:rsid w:val="005B5F6F"/>
    <w:rsid w:val="005B732F"/>
    <w:rsid w:val="005B76F5"/>
    <w:rsid w:val="005C0634"/>
    <w:rsid w:val="005C2A58"/>
    <w:rsid w:val="005C2C9A"/>
    <w:rsid w:val="005C4807"/>
    <w:rsid w:val="005C5693"/>
    <w:rsid w:val="005C5958"/>
    <w:rsid w:val="005C5F80"/>
    <w:rsid w:val="005C5FB5"/>
    <w:rsid w:val="005C6123"/>
    <w:rsid w:val="005C67C9"/>
    <w:rsid w:val="005D06E9"/>
    <w:rsid w:val="005D0F91"/>
    <w:rsid w:val="005D1891"/>
    <w:rsid w:val="005D20A6"/>
    <w:rsid w:val="005D216A"/>
    <w:rsid w:val="005D22B3"/>
    <w:rsid w:val="005D2C84"/>
    <w:rsid w:val="005D34B7"/>
    <w:rsid w:val="005D3707"/>
    <w:rsid w:val="005D38FC"/>
    <w:rsid w:val="005D420F"/>
    <w:rsid w:val="005D60EF"/>
    <w:rsid w:val="005D780C"/>
    <w:rsid w:val="005E0410"/>
    <w:rsid w:val="005E1B2D"/>
    <w:rsid w:val="005E20E8"/>
    <w:rsid w:val="005E2540"/>
    <w:rsid w:val="005E270F"/>
    <w:rsid w:val="005E3A8C"/>
    <w:rsid w:val="005E484D"/>
    <w:rsid w:val="005E5537"/>
    <w:rsid w:val="005E559B"/>
    <w:rsid w:val="005E5B85"/>
    <w:rsid w:val="005E621F"/>
    <w:rsid w:val="005F000F"/>
    <w:rsid w:val="005F008C"/>
    <w:rsid w:val="005F0F41"/>
    <w:rsid w:val="005F0F58"/>
    <w:rsid w:val="005F11F5"/>
    <w:rsid w:val="005F14EF"/>
    <w:rsid w:val="005F2578"/>
    <w:rsid w:val="005F263F"/>
    <w:rsid w:val="005F29FB"/>
    <w:rsid w:val="005F2AFA"/>
    <w:rsid w:val="005F2D14"/>
    <w:rsid w:val="005F374B"/>
    <w:rsid w:val="005F3FB0"/>
    <w:rsid w:val="005F41EF"/>
    <w:rsid w:val="005F42CE"/>
    <w:rsid w:val="005F4EE6"/>
    <w:rsid w:val="005F5D33"/>
    <w:rsid w:val="005F6B2B"/>
    <w:rsid w:val="006015C3"/>
    <w:rsid w:val="00601B5A"/>
    <w:rsid w:val="00601FAA"/>
    <w:rsid w:val="00602475"/>
    <w:rsid w:val="0060287F"/>
    <w:rsid w:val="00603115"/>
    <w:rsid w:val="00604474"/>
    <w:rsid w:val="006059BC"/>
    <w:rsid w:val="00605E55"/>
    <w:rsid w:val="00606FD5"/>
    <w:rsid w:val="00607627"/>
    <w:rsid w:val="006106A0"/>
    <w:rsid w:val="006115E5"/>
    <w:rsid w:val="00611762"/>
    <w:rsid w:val="00611768"/>
    <w:rsid w:val="00611A68"/>
    <w:rsid w:val="0061230A"/>
    <w:rsid w:val="00612A24"/>
    <w:rsid w:val="00613F6F"/>
    <w:rsid w:val="00614186"/>
    <w:rsid w:val="00614261"/>
    <w:rsid w:val="0061507E"/>
    <w:rsid w:val="006155AC"/>
    <w:rsid w:val="00615E60"/>
    <w:rsid w:val="006161C8"/>
    <w:rsid w:val="00616351"/>
    <w:rsid w:val="00621B6C"/>
    <w:rsid w:val="00621EE0"/>
    <w:rsid w:val="006223F8"/>
    <w:rsid w:val="00622624"/>
    <w:rsid w:val="00622E42"/>
    <w:rsid w:val="006241E7"/>
    <w:rsid w:val="0062460E"/>
    <w:rsid w:val="00625315"/>
    <w:rsid w:val="0062564F"/>
    <w:rsid w:val="00626718"/>
    <w:rsid w:val="00627702"/>
    <w:rsid w:val="00633461"/>
    <w:rsid w:val="00633663"/>
    <w:rsid w:val="00634A6B"/>
    <w:rsid w:val="00634EAE"/>
    <w:rsid w:val="0063570F"/>
    <w:rsid w:val="0063574C"/>
    <w:rsid w:val="006358E8"/>
    <w:rsid w:val="0063606B"/>
    <w:rsid w:val="006366DC"/>
    <w:rsid w:val="006367A0"/>
    <w:rsid w:val="00637652"/>
    <w:rsid w:val="00637948"/>
    <w:rsid w:val="006414FE"/>
    <w:rsid w:val="00642A8C"/>
    <w:rsid w:val="00643269"/>
    <w:rsid w:val="006432CC"/>
    <w:rsid w:val="006440DD"/>
    <w:rsid w:val="006442F2"/>
    <w:rsid w:val="006454A4"/>
    <w:rsid w:val="00646807"/>
    <w:rsid w:val="00646BCB"/>
    <w:rsid w:val="00646D75"/>
    <w:rsid w:val="00647998"/>
    <w:rsid w:val="006516A2"/>
    <w:rsid w:val="00651E55"/>
    <w:rsid w:val="006526F9"/>
    <w:rsid w:val="00654571"/>
    <w:rsid w:val="00654D19"/>
    <w:rsid w:val="00655383"/>
    <w:rsid w:val="006553DB"/>
    <w:rsid w:val="00656A8D"/>
    <w:rsid w:val="00656ECC"/>
    <w:rsid w:val="0065737B"/>
    <w:rsid w:val="00661651"/>
    <w:rsid w:val="00663D13"/>
    <w:rsid w:val="00664460"/>
    <w:rsid w:val="006650AF"/>
    <w:rsid w:val="0066589D"/>
    <w:rsid w:val="00665B2A"/>
    <w:rsid w:val="00666394"/>
    <w:rsid w:val="00667C85"/>
    <w:rsid w:val="00670745"/>
    <w:rsid w:val="00670906"/>
    <w:rsid w:val="00671935"/>
    <w:rsid w:val="00672737"/>
    <w:rsid w:val="00672D56"/>
    <w:rsid w:val="00674225"/>
    <w:rsid w:val="00674950"/>
    <w:rsid w:val="00674D22"/>
    <w:rsid w:val="0067529D"/>
    <w:rsid w:val="00675ABB"/>
    <w:rsid w:val="006767EA"/>
    <w:rsid w:val="00676CC8"/>
    <w:rsid w:val="00677293"/>
    <w:rsid w:val="006773B8"/>
    <w:rsid w:val="00677574"/>
    <w:rsid w:val="006806CC"/>
    <w:rsid w:val="00680C44"/>
    <w:rsid w:val="0068281B"/>
    <w:rsid w:val="00683B29"/>
    <w:rsid w:val="0068568B"/>
    <w:rsid w:val="00686776"/>
    <w:rsid w:val="00687119"/>
    <w:rsid w:val="006879F7"/>
    <w:rsid w:val="00687EDD"/>
    <w:rsid w:val="00690C63"/>
    <w:rsid w:val="00691A0E"/>
    <w:rsid w:val="006934E8"/>
    <w:rsid w:val="00693F7F"/>
    <w:rsid w:val="00695E52"/>
    <w:rsid w:val="00697383"/>
    <w:rsid w:val="00697A18"/>
    <w:rsid w:val="006A0343"/>
    <w:rsid w:val="006A0A10"/>
    <w:rsid w:val="006A2EBC"/>
    <w:rsid w:val="006A3B88"/>
    <w:rsid w:val="006A4263"/>
    <w:rsid w:val="006A653A"/>
    <w:rsid w:val="006B0B75"/>
    <w:rsid w:val="006B2454"/>
    <w:rsid w:val="006B264F"/>
    <w:rsid w:val="006B394C"/>
    <w:rsid w:val="006B3FF1"/>
    <w:rsid w:val="006B4739"/>
    <w:rsid w:val="006B5666"/>
    <w:rsid w:val="006B5B05"/>
    <w:rsid w:val="006B62E9"/>
    <w:rsid w:val="006B6960"/>
    <w:rsid w:val="006B6D68"/>
    <w:rsid w:val="006C18AC"/>
    <w:rsid w:val="006C1AFF"/>
    <w:rsid w:val="006C2D4F"/>
    <w:rsid w:val="006C5133"/>
    <w:rsid w:val="006C54DF"/>
    <w:rsid w:val="006C6503"/>
    <w:rsid w:val="006C6683"/>
    <w:rsid w:val="006C68A8"/>
    <w:rsid w:val="006C6B4C"/>
    <w:rsid w:val="006C6C1A"/>
    <w:rsid w:val="006D027F"/>
    <w:rsid w:val="006D0703"/>
    <w:rsid w:val="006D0C84"/>
    <w:rsid w:val="006D22DF"/>
    <w:rsid w:val="006D2BD6"/>
    <w:rsid w:val="006D2EE1"/>
    <w:rsid w:val="006D4C78"/>
    <w:rsid w:val="006E2E1F"/>
    <w:rsid w:val="006E2EEF"/>
    <w:rsid w:val="006E4033"/>
    <w:rsid w:val="006E43BD"/>
    <w:rsid w:val="006E43D7"/>
    <w:rsid w:val="006E535D"/>
    <w:rsid w:val="006E577D"/>
    <w:rsid w:val="006E75C9"/>
    <w:rsid w:val="006F0E83"/>
    <w:rsid w:val="006F1369"/>
    <w:rsid w:val="006F1AED"/>
    <w:rsid w:val="006F2C6D"/>
    <w:rsid w:val="006F2EC5"/>
    <w:rsid w:val="006F2FDA"/>
    <w:rsid w:val="006F33E0"/>
    <w:rsid w:val="006F42D7"/>
    <w:rsid w:val="006F45F1"/>
    <w:rsid w:val="006F4975"/>
    <w:rsid w:val="006F57EB"/>
    <w:rsid w:val="00701170"/>
    <w:rsid w:val="00701638"/>
    <w:rsid w:val="00702E6C"/>
    <w:rsid w:val="0070319E"/>
    <w:rsid w:val="0070429D"/>
    <w:rsid w:val="0070450D"/>
    <w:rsid w:val="00704DF9"/>
    <w:rsid w:val="00705157"/>
    <w:rsid w:val="00706E47"/>
    <w:rsid w:val="00707428"/>
    <w:rsid w:val="00707741"/>
    <w:rsid w:val="00710013"/>
    <w:rsid w:val="0071021D"/>
    <w:rsid w:val="00710C5E"/>
    <w:rsid w:val="00710FCA"/>
    <w:rsid w:val="0071148D"/>
    <w:rsid w:val="007118C0"/>
    <w:rsid w:val="00711BA9"/>
    <w:rsid w:val="00711DE5"/>
    <w:rsid w:val="00712712"/>
    <w:rsid w:val="00713C03"/>
    <w:rsid w:val="00714DF1"/>
    <w:rsid w:val="00715566"/>
    <w:rsid w:val="007164A2"/>
    <w:rsid w:val="00717493"/>
    <w:rsid w:val="0071782A"/>
    <w:rsid w:val="00721809"/>
    <w:rsid w:val="00722161"/>
    <w:rsid w:val="0072222B"/>
    <w:rsid w:val="00723CA3"/>
    <w:rsid w:val="007244FC"/>
    <w:rsid w:val="00724DA6"/>
    <w:rsid w:val="007251C8"/>
    <w:rsid w:val="007257DA"/>
    <w:rsid w:val="007263A0"/>
    <w:rsid w:val="00727527"/>
    <w:rsid w:val="00727903"/>
    <w:rsid w:val="00727EAF"/>
    <w:rsid w:val="007305CF"/>
    <w:rsid w:val="00731907"/>
    <w:rsid w:val="00731E5C"/>
    <w:rsid w:val="007327EA"/>
    <w:rsid w:val="00733846"/>
    <w:rsid w:val="00734B09"/>
    <w:rsid w:val="00735BA6"/>
    <w:rsid w:val="00736FB4"/>
    <w:rsid w:val="00737B70"/>
    <w:rsid w:val="00740206"/>
    <w:rsid w:val="0074095B"/>
    <w:rsid w:val="007409D0"/>
    <w:rsid w:val="00740CDA"/>
    <w:rsid w:val="00740DE2"/>
    <w:rsid w:val="00741C25"/>
    <w:rsid w:val="00743AC6"/>
    <w:rsid w:val="007449CC"/>
    <w:rsid w:val="00745235"/>
    <w:rsid w:val="00745FA8"/>
    <w:rsid w:val="0074607E"/>
    <w:rsid w:val="00746A3B"/>
    <w:rsid w:val="00746C18"/>
    <w:rsid w:val="007475F4"/>
    <w:rsid w:val="00747983"/>
    <w:rsid w:val="00747E15"/>
    <w:rsid w:val="007500CF"/>
    <w:rsid w:val="00751306"/>
    <w:rsid w:val="00752DE8"/>
    <w:rsid w:val="00753D69"/>
    <w:rsid w:val="00754561"/>
    <w:rsid w:val="00754716"/>
    <w:rsid w:val="007555D7"/>
    <w:rsid w:val="00761778"/>
    <w:rsid w:val="00761804"/>
    <w:rsid w:val="00761AFA"/>
    <w:rsid w:val="0076269B"/>
    <w:rsid w:val="007627E1"/>
    <w:rsid w:val="0076327F"/>
    <w:rsid w:val="00763BCA"/>
    <w:rsid w:val="00763EB0"/>
    <w:rsid w:val="00763F7F"/>
    <w:rsid w:val="0076456D"/>
    <w:rsid w:val="00764A1C"/>
    <w:rsid w:val="00766030"/>
    <w:rsid w:val="0076620F"/>
    <w:rsid w:val="00766D4C"/>
    <w:rsid w:val="007671D7"/>
    <w:rsid w:val="007709DF"/>
    <w:rsid w:val="00770DE4"/>
    <w:rsid w:val="007714CD"/>
    <w:rsid w:val="007717FA"/>
    <w:rsid w:val="00771B33"/>
    <w:rsid w:val="0077220C"/>
    <w:rsid w:val="00772810"/>
    <w:rsid w:val="00772B57"/>
    <w:rsid w:val="007735A4"/>
    <w:rsid w:val="00774FCC"/>
    <w:rsid w:val="007760B8"/>
    <w:rsid w:val="00777490"/>
    <w:rsid w:val="00777B86"/>
    <w:rsid w:val="00777BE1"/>
    <w:rsid w:val="00780483"/>
    <w:rsid w:val="007806FE"/>
    <w:rsid w:val="00780B08"/>
    <w:rsid w:val="00781282"/>
    <w:rsid w:val="00781EF6"/>
    <w:rsid w:val="007821F0"/>
    <w:rsid w:val="007822B5"/>
    <w:rsid w:val="00782646"/>
    <w:rsid w:val="007826CF"/>
    <w:rsid w:val="007826EE"/>
    <w:rsid w:val="00783604"/>
    <w:rsid w:val="007848B9"/>
    <w:rsid w:val="00785F92"/>
    <w:rsid w:val="00792F9A"/>
    <w:rsid w:val="007930C7"/>
    <w:rsid w:val="0079340E"/>
    <w:rsid w:val="007934D7"/>
    <w:rsid w:val="00795632"/>
    <w:rsid w:val="00795A96"/>
    <w:rsid w:val="00795FF8"/>
    <w:rsid w:val="00796356"/>
    <w:rsid w:val="00796B63"/>
    <w:rsid w:val="00797EF3"/>
    <w:rsid w:val="007A1120"/>
    <w:rsid w:val="007A12AD"/>
    <w:rsid w:val="007A22A5"/>
    <w:rsid w:val="007A37B1"/>
    <w:rsid w:val="007A3AFB"/>
    <w:rsid w:val="007A4189"/>
    <w:rsid w:val="007A5BBB"/>
    <w:rsid w:val="007A5E21"/>
    <w:rsid w:val="007A5F45"/>
    <w:rsid w:val="007A612E"/>
    <w:rsid w:val="007A66BF"/>
    <w:rsid w:val="007A6A29"/>
    <w:rsid w:val="007A7241"/>
    <w:rsid w:val="007B01D6"/>
    <w:rsid w:val="007B1348"/>
    <w:rsid w:val="007B1C7A"/>
    <w:rsid w:val="007B232F"/>
    <w:rsid w:val="007B25BB"/>
    <w:rsid w:val="007B2D59"/>
    <w:rsid w:val="007B3604"/>
    <w:rsid w:val="007B3EFB"/>
    <w:rsid w:val="007B4ACC"/>
    <w:rsid w:val="007B595A"/>
    <w:rsid w:val="007B5F85"/>
    <w:rsid w:val="007B65F2"/>
    <w:rsid w:val="007B7506"/>
    <w:rsid w:val="007B796C"/>
    <w:rsid w:val="007B79C0"/>
    <w:rsid w:val="007C012D"/>
    <w:rsid w:val="007C0653"/>
    <w:rsid w:val="007C0AD7"/>
    <w:rsid w:val="007C1AFB"/>
    <w:rsid w:val="007C1BB6"/>
    <w:rsid w:val="007C1C41"/>
    <w:rsid w:val="007C22CB"/>
    <w:rsid w:val="007C3070"/>
    <w:rsid w:val="007C38D1"/>
    <w:rsid w:val="007C4C06"/>
    <w:rsid w:val="007C57AC"/>
    <w:rsid w:val="007C5E4D"/>
    <w:rsid w:val="007C60F3"/>
    <w:rsid w:val="007C6171"/>
    <w:rsid w:val="007C6280"/>
    <w:rsid w:val="007C67A3"/>
    <w:rsid w:val="007C6E6E"/>
    <w:rsid w:val="007D00AB"/>
    <w:rsid w:val="007D0F48"/>
    <w:rsid w:val="007D128B"/>
    <w:rsid w:val="007D1DD3"/>
    <w:rsid w:val="007D2C7C"/>
    <w:rsid w:val="007D485B"/>
    <w:rsid w:val="007D5939"/>
    <w:rsid w:val="007D59F3"/>
    <w:rsid w:val="007D6366"/>
    <w:rsid w:val="007D6882"/>
    <w:rsid w:val="007D6C0A"/>
    <w:rsid w:val="007D72CC"/>
    <w:rsid w:val="007D7F07"/>
    <w:rsid w:val="007E28C4"/>
    <w:rsid w:val="007E2982"/>
    <w:rsid w:val="007E35AA"/>
    <w:rsid w:val="007E3EF3"/>
    <w:rsid w:val="007E4942"/>
    <w:rsid w:val="007E4BA9"/>
    <w:rsid w:val="007E55CD"/>
    <w:rsid w:val="007E73DD"/>
    <w:rsid w:val="007E75B4"/>
    <w:rsid w:val="007F0204"/>
    <w:rsid w:val="007F05DC"/>
    <w:rsid w:val="007F29D3"/>
    <w:rsid w:val="007F3DC0"/>
    <w:rsid w:val="007F3E5A"/>
    <w:rsid w:val="007F4C16"/>
    <w:rsid w:val="007F7271"/>
    <w:rsid w:val="007F7346"/>
    <w:rsid w:val="007F7D0B"/>
    <w:rsid w:val="00800AFE"/>
    <w:rsid w:val="00800D5D"/>
    <w:rsid w:val="00801159"/>
    <w:rsid w:val="008017E1"/>
    <w:rsid w:val="008021C7"/>
    <w:rsid w:val="008030F0"/>
    <w:rsid w:val="00803711"/>
    <w:rsid w:val="00803AE3"/>
    <w:rsid w:val="008049B4"/>
    <w:rsid w:val="008068BC"/>
    <w:rsid w:val="00806D1C"/>
    <w:rsid w:val="0081272B"/>
    <w:rsid w:val="00812783"/>
    <w:rsid w:val="00812E71"/>
    <w:rsid w:val="00814715"/>
    <w:rsid w:val="00814E83"/>
    <w:rsid w:val="00814F2B"/>
    <w:rsid w:val="008157EF"/>
    <w:rsid w:val="008159D0"/>
    <w:rsid w:val="0081710C"/>
    <w:rsid w:val="00820776"/>
    <w:rsid w:val="00820ED0"/>
    <w:rsid w:val="008216E6"/>
    <w:rsid w:val="00822C4E"/>
    <w:rsid w:val="00822FC6"/>
    <w:rsid w:val="00823A40"/>
    <w:rsid w:val="00823C46"/>
    <w:rsid w:val="00824497"/>
    <w:rsid w:val="008247DA"/>
    <w:rsid w:val="00824814"/>
    <w:rsid w:val="00825957"/>
    <w:rsid w:val="00826FF6"/>
    <w:rsid w:val="008274A4"/>
    <w:rsid w:val="00832291"/>
    <w:rsid w:val="00832294"/>
    <w:rsid w:val="0083238A"/>
    <w:rsid w:val="008323DB"/>
    <w:rsid w:val="00832C13"/>
    <w:rsid w:val="00833491"/>
    <w:rsid w:val="00834689"/>
    <w:rsid w:val="0083506B"/>
    <w:rsid w:val="00835525"/>
    <w:rsid w:val="00836457"/>
    <w:rsid w:val="00840921"/>
    <w:rsid w:val="00840993"/>
    <w:rsid w:val="0084125D"/>
    <w:rsid w:val="0084244B"/>
    <w:rsid w:val="0084396F"/>
    <w:rsid w:val="00845212"/>
    <w:rsid w:val="008453A6"/>
    <w:rsid w:val="00846371"/>
    <w:rsid w:val="00847F47"/>
    <w:rsid w:val="008519DC"/>
    <w:rsid w:val="00851B9F"/>
    <w:rsid w:val="00851E3D"/>
    <w:rsid w:val="0085200D"/>
    <w:rsid w:val="00852439"/>
    <w:rsid w:val="0085258B"/>
    <w:rsid w:val="00852FBB"/>
    <w:rsid w:val="00855F4D"/>
    <w:rsid w:val="00856207"/>
    <w:rsid w:val="00857290"/>
    <w:rsid w:val="00857D9A"/>
    <w:rsid w:val="0086032A"/>
    <w:rsid w:val="008604A5"/>
    <w:rsid w:val="00861533"/>
    <w:rsid w:val="0086218D"/>
    <w:rsid w:val="008642DF"/>
    <w:rsid w:val="008651CD"/>
    <w:rsid w:val="00866C02"/>
    <w:rsid w:val="0086770F"/>
    <w:rsid w:val="00867B0E"/>
    <w:rsid w:val="0087025F"/>
    <w:rsid w:val="00870C19"/>
    <w:rsid w:val="008718C8"/>
    <w:rsid w:val="0087246E"/>
    <w:rsid w:val="008729F5"/>
    <w:rsid w:val="00872AAF"/>
    <w:rsid w:val="0087361A"/>
    <w:rsid w:val="00876151"/>
    <w:rsid w:val="00876526"/>
    <w:rsid w:val="00876C87"/>
    <w:rsid w:val="008771B0"/>
    <w:rsid w:val="008778C7"/>
    <w:rsid w:val="00877C3C"/>
    <w:rsid w:val="00880F2D"/>
    <w:rsid w:val="008810B0"/>
    <w:rsid w:val="00882D15"/>
    <w:rsid w:val="00884B02"/>
    <w:rsid w:val="0088535A"/>
    <w:rsid w:val="00885530"/>
    <w:rsid w:val="00885781"/>
    <w:rsid w:val="008858A0"/>
    <w:rsid w:val="00885DF8"/>
    <w:rsid w:val="008862DC"/>
    <w:rsid w:val="0088633B"/>
    <w:rsid w:val="00886655"/>
    <w:rsid w:val="00886A12"/>
    <w:rsid w:val="00887AFF"/>
    <w:rsid w:val="00890E47"/>
    <w:rsid w:val="00891448"/>
    <w:rsid w:val="00891576"/>
    <w:rsid w:val="008921BC"/>
    <w:rsid w:val="00893737"/>
    <w:rsid w:val="00894EAD"/>
    <w:rsid w:val="00895501"/>
    <w:rsid w:val="008958F9"/>
    <w:rsid w:val="008962A1"/>
    <w:rsid w:val="00896F7F"/>
    <w:rsid w:val="008A02ED"/>
    <w:rsid w:val="008A0BAF"/>
    <w:rsid w:val="008A3B37"/>
    <w:rsid w:val="008A4C22"/>
    <w:rsid w:val="008A5220"/>
    <w:rsid w:val="008A7297"/>
    <w:rsid w:val="008A72B2"/>
    <w:rsid w:val="008B0AC5"/>
    <w:rsid w:val="008B19D5"/>
    <w:rsid w:val="008B1E89"/>
    <w:rsid w:val="008B239C"/>
    <w:rsid w:val="008B39E6"/>
    <w:rsid w:val="008B5391"/>
    <w:rsid w:val="008B5514"/>
    <w:rsid w:val="008B66EC"/>
    <w:rsid w:val="008B7167"/>
    <w:rsid w:val="008B7DF5"/>
    <w:rsid w:val="008C03F1"/>
    <w:rsid w:val="008C1022"/>
    <w:rsid w:val="008C1080"/>
    <w:rsid w:val="008C14A9"/>
    <w:rsid w:val="008C1CDA"/>
    <w:rsid w:val="008C1DFD"/>
    <w:rsid w:val="008C4E02"/>
    <w:rsid w:val="008C572F"/>
    <w:rsid w:val="008C6574"/>
    <w:rsid w:val="008C78EA"/>
    <w:rsid w:val="008C7BB7"/>
    <w:rsid w:val="008D04B4"/>
    <w:rsid w:val="008D05BF"/>
    <w:rsid w:val="008D0E01"/>
    <w:rsid w:val="008D137A"/>
    <w:rsid w:val="008D1D4E"/>
    <w:rsid w:val="008D43AE"/>
    <w:rsid w:val="008D6338"/>
    <w:rsid w:val="008D668E"/>
    <w:rsid w:val="008E0D00"/>
    <w:rsid w:val="008E0E4F"/>
    <w:rsid w:val="008E1A84"/>
    <w:rsid w:val="008E2BB2"/>
    <w:rsid w:val="008E3184"/>
    <w:rsid w:val="008E39D6"/>
    <w:rsid w:val="008E43EE"/>
    <w:rsid w:val="008E5438"/>
    <w:rsid w:val="008F00A7"/>
    <w:rsid w:val="008F01A7"/>
    <w:rsid w:val="008F0E95"/>
    <w:rsid w:val="008F1BB7"/>
    <w:rsid w:val="008F1D82"/>
    <w:rsid w:val="008F23AB"/>
    <w:rsid w:val="008F3564"/>
    <w:rsid w:val="008F3AD8"/>
    <w:rsid w:val="008F4A0A"/>
    <w:rsid w:val="008F4EDB"/>
    <w:rsid w:val="008F6FE9"/>
    <w:rsid w:val="008F75C0"/>
    <w:rsid w:val="0090040D"/>
    <w:rsid w:val="00900542"/>
    <w:rsid w:val="0090127D"/>
    <w:rsid w:val="009020C9"/>
    <w:rsid w:val="00902139"/>
    <w:rsid w:val="00902398"/>
    <w:rsid w:val="00902A0E"/>
    <w:rsid w:val="009034EA"/>
    <w:rsid w:val="00903C2D"/>
    <w:rsid w:val="009042F2"/>
    <w:rsid w:val="009047B0"/>
    <w:rsid w:val="00905775"/>
    <w:rsid w:val="009067E3"/>
    <w:rsid w:val="00907D49"/>
    <w:rsid w:val="00910509"/>
    <w:rsid w:val="0091062F"/>
    <w:rsid w:val="00911D06"/>
    <w:rsid w:val="00912B18"/>
    <w:rsid w:val="00912E63"/>
    <w:rsid w:val="00912F44"/>
    <w:rsid w:val="009137A4"/>
    <w:rsid w:val="009153E0"/>
    <w:rsid w:val="00915D6C"/>
    <w:rsid w:val="0091693A"/>
    <w:rsid w:val="00920910"/>
    <w:rsid w:val="00920C17"/>
    <w:rsid w:val="009220F2"/>
    <w:rsid w:val="00922433"/>
    <w:rsid w:val="00922C06"/>
    <w:rsid w:val="00923B31"/>
    <w:rsid w:val="009244E0"/>
    <w:rsid w:val="00925819"/>
    <w:rsid w:val="0092589F"/>
    <w:rsid w:val="00926244"/>
    <w:rsid w:val="00927AE1"/>
    <w:rsid w:val="00927CE4"/>
    <w:rsid w:val="00927EC6"/>
    <w:rsid w:val="00930DA6"/>
    <w:rsid w:val="00931080"/>
    <w:rsid w:val="009323F7"/>
    <w:rsid w:val="00933E6B"/>
    <w:rsid w:val="0093498C"/>
    <w:rsid w:val="0093569C"/>
    <w:rsid w:val="00937C9C"/>
    <w:rsid w:val="0094011F"/>
    <w:rsid w:val="0094129A"/>
    <w:rsid w:val="00941CC2"/>
    <w:rsid w:val="00942308"/>
    <w:rsid w:val="00942B8C"/>
    <w:rsid w:val="00943266"/>
    <w:rsid w:val="00943804"/>
    <w:rsid w:val="009445BC"/>
    <w:rsid w:val="00945637"/>
    <w:rsid w:val="00946458"/>
    <w:rsid w:val="009464EF"/>
    <w:rsid w:val="00947449"/>
    <w:rsid w:val="00947811"/>
    <w:rsid w:val="0094789F"/>
    <w:rsid w:val="00950DA6"/>
    <w:rsid w:val="00951244"/>
    <w:rsid w:val="009517B2"/>
    <w:rsid w:val="00952CFD"/>
    <w:rsid w:val="00952F61"/>
    <w:rsid w:val="00953141"/>
    <w:rsid w:val="00953858"/>
    <w:rsid w:val="00954B57"/>
    <w:rsid w:val="00954BA0"/>
    <w:rsid w:val="009563E4"/>
    <w:rsid w:val="009577E1"/>
    <w:rsid w:val="009577E6"/>
    <w:rsid w:val="00957D6A"/>
    <w:rsid w:val="00957E54"/>
    <w:rsid w:val="0096051E"/>
    <w:rsid w:val="0096140A"/>
    <w:rsid w:val="00962958"/>
    <w:rsid w:val="00963860"/>
    <w:rsid w:val="00964508"/>
    <w:rsid w:val="009645C9"/>
    <w:rsid w:val="009646FD"/>
    <w:rsid w:val="00964F50"/>
    <w:rsid w:val="00966364"/>
    <w:rsid w:val="00966E9D"/>
    <w:rsid w:val="009676F6"/>
    <w:rsid w:val="00967AA4"/>
    <w:rsid w:val="0097063F"/>
    <w:rsid w:val="0097089B"/>
    <w:rsid w:val="00970A2D"/>
    <w:rsid w:val="00971244"/>
    <w:rsid w:val="009719A5"/>
    <w:rsid w:val="00971DA1"/>
    <w:rsid w:val="0097215A"/>
    <w:rsid w:val="00973A58"/>
    <w:rsid w:val="00973FC1"/>
    <w:rsid w:val="0097430D"/>
    <w:rsid w:val="00974C33"/>
    <w:rsid w:val="00976096"/>
    <w:rsid w:val="00976BB7"/>
    <w:rsid w:val="009774CE"/>
    <w:rsid w:val="0097768C"/>
    <w:rsid w:val="00977F24"/>
    <w:rsid w:val="00980A84"/>
    <w:rsid w:val="00982208"/>
    <w:rsid w:val="00982541"/>
    <w:rsid w:val="009838F8"/>
    <w:rsid w:val="0098539F"/>
    <w:rsid w:val="00985906"/>
    <w:rsid w:val="00985ED0"/>
    <w:rsid w:val="009863D6"/>
    <w:rsid w:val="00986993"/>
    <w:rsid w:val="00987043"/>
    <w:rsid w:val="009902F2"/>
    <w:rsid w:val="0099146F"/>
    <w:rsid w:val="00992151"/>
    <w:rsid w:val="00992268"/>
    <w:rsid w:val="009930B7"/>
    <w:rsid w:val="0099373E"/>
    <w:rsid w:val="00993C41"/>
    <w:rsid w:val="00993CC3"/>
    <w:rsid w:val="00994554"/>
    <w:rsid w:val="00994715"/>
    <w:rsid w:val="00995353"/>
    <w:rsid w:val="0099572A"/>
    <w:rsid w:val="009975D3"/>
    <w:rsid w:val="009976F8"/>
    <w:rsid w:val="00997F87"/>
    <w:rsid w:val="009A0694"/>
    <w:rsid w:val="009A0C6A"/>
    <w:rsid w:val="009A3D14"/>
    <w:rsid w:val="009A4106"/>
    <w:rsid w:val="009A4D63"/>
    <w:rsid w:val="009A4E3F"/>
    <w:rsid w:val="009A56B6"/>
    <w:rsid w:val="009A6F30"/>
    <w:rsid w:val="009A7903"/>
    <w:rsid w:val="009A7E72"/>
    <w:rsid w:val="009B022C"/>
    <w:rsid w:val="009B05F4"/>
    <w:rsid w:val="009B0FEE"/>
    <w:rsid w:val="009B216F"/>
    <w:rsid w:val="009B237E"/>
    <w:rsid w:val="009B345B"/>
    <w:rsid w:val="009B3C5D"/>
    <w:rsid w:val="009B5030"/>
    <w:rsid w:val="009B5163"/>
    <w:rsid w:val="009B56BE"/>
    <w:rsid w:val="009B599D"/>
    <w:rsid w:val="009B60A9"/>
    <w:rsid w:val="009B6C6A"/>
    <w:rsid w:val="009C0201"/>
    <w:rsid w:val="009C0E88"/>
    <w:rsid w:val="009C145D"/>
    <w:rsid w:val="009C20D2"/>
    <w:rsid w:val="009C2E6B"/>
    <w:rsid w:val="009C539B"/>
    <w:rsid w:val="009C5941"/>
    <w:rsid w:val="009C6298"/>
    <w:rsid w:val="009C670E"/>
    <w:rsid w:val="009C7071"/>
    <w:rsid w:val="009C71BB"/>
    <w:rsid w:val="009C72CE"/>
    <w:rsid w:val="009C7E89"/>
    <w:rsid w:val="009D1576"/>
    <w:rsid w:val="009D25A6"/>
    <w:rsid w:val="009D314A"/>
    <w:rsid w:val="009D44BE"/>
    <w:rsid w:val="009D4B62"/>
    <w:rsid w:val="009D5814"/>
    <w:rsid w:val="009D5C78"/>
    <w:rsid w:val="009D7636"/>
    <w:rsid w:val="009D774B"/>
    <w:rsid w:val="009E0C11"/>
    <w:rsid w:val="009E193F"/>
    <w:rsid w:val="009E1BF0"/>
    <w:rsid w:val="009E240D"/>
    <w:rsid w:val="009E26CE"/>
    <w:rsid w:val="009E31E2"/>
    <w:rsid w:val="009E437D"/>
    <w:rsid w:val="009E55CE"/>
    <w:rsid w:val="009E57A2"/>
    <w:rsid w:val="009E5E6A"/>
    <w:rsid w:val="009E658C"/>
    <w:rsid w:val="009E669B"/>
    <w:rsid w:val="009E679B"/>
    <w:rsid w:val="009E6FCF"/>
    <w:rsid w:val="009E71F4"/>
    <w:rsid w:val="009E7675"/>
    <w:rsid w:val="009E7F02"/>
    <w:rsid w:val="009E7FAF"/>
    <w:rsid w:val="009F138F"/>
    <w:rsid w:val="009F248C"/>
    <w:rsid w:val="009F2E09"/>
    <w:rsid w:val="009F3816"/>
    <w:rsid w:val="009F5BF7"/>
    <w:rsid w:val="009F6440"/>
    <w:rsid w:val="009F66CD"/>
    <w:rsid w:val="009F7EC0"/>
    <w:rsid w:val="009F7EC7"/>
    <w:rsid w:val="00A00538"/>
    <w:rsid w:val="00A00B94"/>
    <w:rsid w:val="00A0281C"/>
    <w:rsid w:val="00A02C86"/>
    <w:rsid w:val="00A0330B"/>
    <w:rsid w:val="00A046B1"/>
    <w:rsid w:val="00A05319"/>
    <w:rsid w:val="00A06A98"/>
    <w:rsid w:val="00A07299"/>
    <w:rsid w:val="00A0793D"/>
    <w:rsid w:val="00A102B0"/>
    <w:rsid w:val="00A104F7"/>
    <w:rsid w:val="00A112D0"/>
    <w:rsid w:val="00A11A2E"/>
    <w:rsid w:val="00A12E03"/>
    <w:rsid w:val="00A14D41"/>
    <w:rsid w:val="00A14EB3"/>
    <w:rsid w:val="00A15B7C"/>
    <w:rsid w:val="00A16018"/>
    <w:rsid w:val="00A16D9F"/>
    <w:rsid w:val="00A16EF1"/>
    <w:rsid w:val="00A1702D"/>
    <w:rsid w:val="00A175BA"/>
    <w:rsid w:val="00A17CB5"/>
    <w:rsid w:val="00A20AB1"/>
    <w:rsid w:val="00A2126B"/>
    <w:rsid w:val="00A21C9E"/>
    <w:rsid w:val="00A2461C"/>
    <w:rsid w:val="00A24D55"/>
    <w:rsid w:val="00A25145"/>
    <w:rsid w:val="00A259E3"/>
    <w:rsid w:val="00A26D0A"/>
    <w:rsid w:val="00A302C5"/>
    <w:rsid w:val="00A30D9B"/>
    <w:rsid w:val="00A30F1F"/>
    <w:rsid w:val="00A31D5E"/>
    <w:rsid w:val="00A33353"/>
    <w:rsid w:val="00A333EA"/>
    <w:rsid w:val="00A36914"/>
    <w:rsid w:val="00A40A68"/>
    <w:rsid w:val="00A412CD"/>
    <w:rsid w:val="00A41375"/>
    <w:rsid w:val="00A414E4"/>
    <w:rsid w:val="00A41935"/>
    <w:rsid w:val="00A41FF2"/>
    <w:rsid w:val="00A4264E"/>
    <w:rsid w:val="00A42C2E"/>
    <w:rsid w:val="00A441F1"/>
    <w:rsid w:val="00A4518A"/>
    <w:rsid w:val="00A4537F"/>
    <w:rsid w:val="00A456B0"/>
    <w:rsid w:val="00A468EA"/>
    <w:rsid w:val="00A502DF"/>
    <w:rsid w:val="00A545E2"/>
    <w:rsid w:val="00A54D13"/>
    <w:rsid w:val="00A569CE"/>
    <w:rsid w:val="00A56FF9"/>
    <w:rsid w:val="00A60551"/>
    <w:rsid w:val="00A60816"/>
    <w:rsid w:val="00A616A3"/>
    <w:rsid w:val="00A6292C"/>
    <w:rsid w:val="00A62E9F"/>
    <w:rsid w:val="00A633E2"/>
    <w:rsid w:val="00A6518A"/>
    <w:rsid w:val="00A6576A"/>
    <w:rsid w:val="00A65943"/>
    <w:rsid w:val="00A65FF4"/>
    <w:rsid w:val="00A662FF"/>
    <w:rsid w:val="00A6663F"/>
    <w:rsid w:val="00A66998"/>
    <w:rsid w:val="00A673A9"/>
    <w:rsid w:val="00A67425"/>
    <w:rsid w:val="00A67865"/>
    <w:rsid w:val="00A70231"/>
    <w:rsid w:val="00A702C5"/>
    <w:rsid w:val="00A723A3"/>
    <w:rsid w:val="00A73BFB"/>
    <w:rsid w:val="00A747E3"/>
    <w:rsid w:val="00A755B6"/>
    <w:rsid w:val="00A756E8"/>
    <w:rsid w:val="00A76918"/>
    <w:rsid w:val="00A76A3A"/>
    <w:rsid w:val="00A81CF4"/>
    <w:rsid w:val="00A81DFF"/>
    <w:rsid w:val="00A826B3"/>
    <w:rsid w:val="00A828A5"/>
    <w:rsid w:val="00A8384C"/>
    <w:rsid w:val="00A839DA"/>
    <w:rsid w:val="00A83A92"/>
    <w:rsid w:val="00A8450A"/>
    <w:rsid w:val="00A84C1A"/>
    <w:rsid w:val="00A85335"/>
    <w:rsid w:val="00A85A36"/>
    <w:rsid w:val="00A85AE6"/>
    <w:rsid w:val="00A85D14"/>
    <w:rsid w:val="00A8627B"/>
    <w:rsid w:val="00A87915"/>
    <w:rsid w:val="00A90A8A"/>
    <w:rsid w:val="00A91472"/>
    <w:rsid w:val="00A929A9"/>
    <w:rsid w:val="00A92C2B"/>
    <w:rsid w:val="00A934C0"/>
    <w:rsid w:val="00A93630"/>
    <w:rsid w:val="00A93F63"/>
    <w:rsid w:val="00A97E70"/>
    <w:rsid w:val="00AA0E33"/>
    <w:rsid w:val="00AA1439"/>
    <w:rsid w:val="00AA1B00"/>
    <w:rsid w:val="00AA2BB7"/>
    <w:rsid w:val="00AA4034"/>
    <w:rsid w:val="00AA49EA"/>
    <w:rsid w:val="00AA5DF0"/>
    <w:rsid w:val="00AA630D"/>
    <w:rsid w:val="00AA63B4"/>
    <w:rsid w:val="00AA68AA"/>
    <w:rsid w:val="00AA76C1"/>
    <w:rsid w:val="00AB109C"/>
    <w:rsid w:val="00AB19A3"/>
    <w:rsid w:val="00AB2E29"/>
    <w:rsid w:val="00AB4C03"/>
    <w:rsid w:val="00AB4E9F"/>
    <w:rsid w:val="00AB534B"/>
    <w:rsid w:val="00AB6092"/>
    <w:rsid w:val="00AB61F1"/>
    <w:rsid w:val="00AB6ABB"/>
    <w:rsid w:val="00AB7AE5"/>
    <w:rsid w:val="00AC09D2"/>
    <w:rsid w:val="00AC2ED8"/>
    <w:rsid w:val="00AC31C7"/>
    <w:rsid w:val="00AC4ADA"/>
    <w:rsid w:val="00AC4E39"/>
    <w:rsid w:val="00AC52A7"/>
    <w:rsid w:val="00AC5406"/>
    <w:rsid w:val="00AC672C"/>
    <w:rsid w:val="00AC760A"/>
    <w:rsid w:val="00AC7EED"/>
    <w:rsid w:val="00AD1A70"/>
    <w:rsid w:val="00AD1D67"/>
    <w:rsid w:val="00AD1DC4"/>
    <w:rsid w:val="00AD239B"/>
    <w:rsid w:val="00AD2AD2"/>
    <w:rsid w:val="00AD4252"/>
    <w:rsid w:val="00AD55A4"/>
    <w:rsid w:val="00AD5E33"/>
    <w:rsid w:val="00AD5EA0"/>
    <w:rsid w:val="00AD628E"/>
    <w:rsid w:val="00AE0D2E"/>
    <w:rsid w:val="00AE2283"/>
    <w:rsid w:val="00AE27CE"/>
    <w:rsid w:val="00AE2867"/>
    <w:rsid w:val="00AE2B5E"/>
    <w:rsid w:val="00AE3061"/>
    <w:rsid w:val="00AE3300"/>
    <w:rsid w:val="00AE346F"/>
    <w:rsid w:val="00AE4909"/>
    <w:rsid w:val="00AE5487"/>
    <w:rsid w:val="00AE5494"/>
    <w:rsid w:val="00AE673B"/>
    <w:rsid w:val="00AE6D16"/>
    <w:rsid w:val="00AE6DB6"/>
    <w:rsid w:val="00AE7933"/>
    <w:rsid w:val="00AF01CF"/>
    <w:rsid w:val="00AF0240"/>
    <w:rsid w:val="00AF04FD"/>
    <w:rsid w:val="00AF1774"/>
    <w:rsid w:val="00AF2A52"/>
    <w:rsid w:val="00AF2CC5"/>
    <w:rsid w:val="00AF3928"/>
    <w:rsid w:val="00AF3DC4"/>
    <w:rsid w:val="00AF4D81"/>
    <w:rsid w:val="00AF5183"/>
    <w:rsid w:val="00AF5734"/>
    <w:rsid w:val="00AF5AED"/>
    <w:rsid w:val="00AF65F6"/>
    <w:rsid w:val="00AF77A9"/>
    <w:rsid w:val="00AF7E39"/>
    <w:rsid w:val="00B001BB"/>
    <w:rsid w:val="00B006B9"/>
    <w:rsid w:val="00B013C2"/>
    <w:rsid w:val="00B029E5"/>
    <w:rsid w:val="00B0356A"/>
    <w:rsid w:val="00B03FE6"/>
    <w:rsid w:val="00B0451F"/>
    <w:rsid w:val="00B0480F"/>
    <w:rsid w:val="00B04993"/>
    <w:rsid w:val="00B0515D"/>
    <w:rsid w:val="00B11347"/>
    <w:rsid w:val="00B12310"/>
    <w:rsid w:val="00B12BCC"/>
    <w:rsid w:val="00B1370B"/>
    <w:rsid w:val="00B13D29"/>
    <w:rsid w:val="00B15542"/>
    <w:rsid w:val="00B17180"/>
    <w:rsid w:val="00B17D82"/>
    <w:rsid w:val="00B206B2"/>
    <w:rsid w:val="00B2086C"/>
    <w:rsid w:val="00B20C94"/>
    <w:rsid w:val="00B2101C"/>
    <w:rsid w:val="00B22911"/>
    <w:rsid w:val="00B23825"/>
    <w:rsid w:val="00B24696"/>
    <w:rsid w:val="00B252B4"/>
    <w:rsid w:val="00B26CE6"/>
    <w:rsid w:val="00B26E48"/>
    <w:rsid w:val="00B278D0"/>
    <w:rsid w:val="00B30896"/>
    <w:rsid w:val="00B30924"/>
    <w:rsid w:val="00B30ACA"/>
    <w:rsid w:val="00B3204B"/>
    <w:rsid w:val="00B32FCA"/>
    <w:rsid w:val="00B330D2"/>
    <w:rsid w:val="00B33105"/>
    <w:rsid w:val="00B33A58"/>
    <w:rsid w:val="00B33BEB"/>
    <w:rsid w:val="00B340A1"/>
    <w:rsid w:val="00B3512F"/>
    <w:rsid w:val="00B35464"/>
    <w:rsid w:val="00B35E4B"/>
    <w:rsid w:val="00B37586"/>
    <w:rsid w:val="00B375E4"/>
    <w:rsid w:val="00B3764C"/>
    <w:rsid w:val="00B40FCD"/>
    <w:rsid w:val="00B41276"/>
    <w:rsid w:val="00B439A8"/>
    <w:rsid w:val="00B450FC"/>
    <w:rsid w:val="00B4608D"/>
    <w:rsid w:val="00B461BF"/>
    <w:rsid w:val="00B46866"/>
    <w:rsid w:val="00B51C0F"/>
    <w:rsid w:val="00B525CB"/>
    <w:rsid w:val="00B5339A"/>
    <w:rsid w:val="00B53DC9"/>
    <w:rsid w:val="00B55269"/>
    <w:rsid w:val="00B5638A"/>
    <w:rsid w:val="00B566EA"/>
    <w:rsid w:val="00B57767"/>
    <w:rsid w:val="00B62016"/>
    <w:rsid w:val="00B62AD4"/>
    <w:rsid w:val="00B62C82"/>
    <w:rsid w:val="00B635C2"/>
    <w:rsid w:val="00B645BD"/>
    <w:rsid w:val="00B64787"/>
    <w:rsid w:val="00B648AB"/>
    <w:rsid w:val="00B65095"/>
    <w:rsid w:val="00B66858"/>
    <w:rsid w:val="00B67A87"/>
    <w:rsid w:val="00B67C23"/>
    <w:rsid w:val="00B67DAC"/>
    <w:rsid w:val="00B70F2A"/>
    <w:rsid w:val="00B71074"/>
    <w:rsid w:val="00B71EAC"/>
    <w:rsid w:val="00B72D9F"/>
    <w:rsid w:val="00B735D9"/>
    <w:rsid w:val="00B75CB1"/>
    <w:rsid w:val="00B75FAD"/>
    <w:rsid w:val="00B77026"/>
    <w:rsid w:val="00B7719A"/>
    <w:rsid w:val="00B779F2"/>
    <w:rsid w:val="00B80B70"/>
    <w:rsid w:val="00B818BB"/>
    <w:rsid w:val="00B81AD1"/>
    <w:rsid w:val="00B83A49"/>
    <w:rsid w:val="00B84988"/>
    <w:rsid w:val="00B849A3"/>
    <w:rsid w:val="00B9009D"/>
    <w:rsid w:val="00B900BF"/>
    <w:rsid w:val="00B91310"/>
    <w:rsid w:val="00B913ED"/>
    <w:rsid w:val="00B9286B"/>
    <w:rsid w:val="00B9305C"/>
    <w:rsid w:val="00B94A8A"/>
    <w:rsid w:val="00B95854"/>
    <w:rsid w:val="00B95BA1"/>
    <w:rsid w:val="00B95EF4"/>
    <w:rsid w:val="00B96D5E"/>
    <w:rsid w:val="00B96E9A"/>
    <w:rsid w:val="00B96F9E"/>
    <w:rsid w:val="00BA01A6"/>
    <w:rsid w:val="00BA0796"/>
    <w:rsid w:val="00BA0C1C"/>
    <w:rsid w:val="00BA0EB7"/>
    <w:rsid w:val="00BA16FC"/>
    <w:rsid w:val="00BA1F74"/>
    <w:rsid w:val="00BA3A75"/>
    <w:rsid w:val="00BA6B62"/>
    <w:rsid w:val="00BA776B"/>
    <w:rsid w:val="00BB01F4"/>
    <w:rsid w:val="00BB2149"/>
    <w:rsid w:val="00BB2A68"/>
    <w:rsid w:val="00BB2BB6"/>
    <w:rsid w:val="00BB3475"/>
    <w:rsid w:val="00BB77B9"/>
    <w:rsid w:val="00BB79FD"/>
    <w:rsid w:val="00BC1AA1"/>
    <w:rsid w:val="00BC1E7D"/>
    <w:rsid w:val="00BC33CB"/>
    <w:rsid w:val="00BC3C10"/>
    <w:rsid w:val="00BC44DC"/>
    <w:rsid w:val="00BC47B7"/>
    <w:rsid w:val="00BC5142"/>
    <w:rsid w:val="00BC5250"/>
    <w:rsid w:val="00BC5C35"/>
    <w:rsid w:val="00BC5DBE"/>
    <w:rsid w:val="00BC607B"/>
    <w:rsid w:val="00BC6311"/>
    <w:rsid w:val="00BD0256"/>
    <w:rsid w:val="00BD0A70"/>
    <w:rsid w:val="00BD236F"/>
    <w:rsid w:val="00BD2C10"/>
    <w:rsid w:val="00BD3A5E"/>
    <w:rsid w:val="00BD5C97"/>
    <w:rsid w:val="00BD5FE8"/>
    <w:rsid w:val="00BD6161"/>
    <w:rsid w:val="00BD6999"/>
    <w:rsid w:val="00BD6BA2"/>
    <w:rsid w:val="00BD7890"/>
    <w:rsid w:val="00BE06C1"/>
    <w:rsid w:val="00BE08B6"/>
    <w:rsid w:val="00BE2005"/>
    <w:rsid w:val="00BE2E5D"/>
    <w:rsid w:val="00BE3CBF"/>
    <w:rsid w:val="00BE4E2D"/>
    <w:rsid w:val="00BE4E4A"/>
    <w:rsid w:val="00BE4F72"/>
    <w:rsid w:val="00BE58A8"/>
    <w:rsid w:val="00BE592B"/>
    <w:rsid w:val="00BE7F6B"/>
    <w:rsid w:val="00BF064E"/>
    <w:rsid w:val="00BF0784"/>
    <w:rsid w:val="00BF096E"/>
    <w:rsid w:val="00BF2821"/>
    <w:rsid w:val="00BF30C7"/>
    <w:rsid w:val="00BF5B54"/>
    <w:rsid w:val="00BF7506"/>
    <w:rsid w:val="00C001DF"/>
    <w:rsid w:val="00C02622"/>
    <w:rsid w:val="00C03298"/>
    <w:rsid w:val="00C03EDC"/>
    <w:rsid w:val="00C04621"/>
    <w:rsid w:val="00C04EF5"/>
    <w:rsid w:val="00C05995"/>
    <w:rsid w:val="00C064FB"/>
    <w:rsid w:val="00C06E6D"/>
    <w:rsid w:val="00C10E26"/>
    <w:rsid w:val="00C11BE7"/>
    <w:rsid w:val="00C1306B"/>
    <w:rsid w:val="00C1368C"/>
    <w:rsid w:val="00C14C9A"/>
    <w:rsid w:val="00C14E61"/>
    <w:rsid w:val="00C153C6"/>
    <w:rsid w:val="00C15451"/>
    <w:rsid w:val="00C16494"/>
    <w:rsid w:val="00C2066B"/>
    <w:rsid w:val="00C2199E"/>
    <w:rsid w:val="00C21CD8"/>
    <w:rsid w:val="00C21DBC"/>
    <w:rsid w:val="00C22132"/>
    <w:rsid w:val="00C22E28"/>
    <w:rsid w:val="00C23547"/>
    <w:rsid w:val="00C23C73"/>
    <w:rsid w:val="00C24284"/>
    <w:rsid w:val="00C24FCB"/>
    <w:rsid w:val="00C25417"/>
    <w:rsid w:val="00C2615E"/>
    <w:rsid w:val="00C2634E"/>
    <w:rsid w:val="00C268BC"/>
    <w:rsid w:val="00C26F80"/>
    <w:rsid w:val="00C27139"/>
    <w:rsid w:val="00C27DFE"/>
    <w:rsid w:val="00C30139"/>
    <w:rsid w:val="00C30618"/>
    <w:rsid w:val="00C31C5D"/>
    <w:rsid w:val="00C31EE9"/>
    <w:rsid w:val="00C32114"/>
    <w:rsid w:val="00C32578"/>
    <w:rsid w:val="00C332A8"/>
    <w:rsid w:val="00C33431"/>
    <w:rsid w:val="00C34C3B"/>
    <w:rsid w:val="00C35AF2"/>
    <w:rsid w:val="00C366A0"/>
    <w:rsid w:val="00C3695C"/>
    <w:rsid w:val="00C37BD8"/>
    <w:rsid w:val="00C40359"/>
    <w:rsid w:val="00C40700"/>
    <w:rsid w:val="00C40A1E"/>
    <w:rsid w:val="00C40F7D"/>
    <w:rsid w:val="00C4513B"/>
    <w:rsid w:val="00C45437"/>
    <w:rsid w:val="00C4573D"/>
    <w:rsid w:val="00C46D9D"/>
    <w:rsid w:val="00C52148"/>
    <w:rsid w:val="00C52240"/>
    <w:rsid w:val="00C530AE"/>
    <w:rsid w:val="00C53975"/>
    <w:rsid w:val="00C54101"/>
    <w:rsid w:val="00C54AEE"/>
    <w:rsid w:val="00C54EA8"/>
    <w:rsid w:val="00C55BB3"/>
    <w:rsid w:val="00C55D65"/>
    <w:rsid w:val="00C562B7"/>
    <w:rsid w:val="00C56F08"/>
    <w:rsid w:val="00C60154"/>
    <w:rsid w:val="00C60325"/>
    <w:rsid w:val="00C607C3"/>
    <w:rsid w:val="00C61578"/>
    <w:rsid w:val="00C61A54"/>
    <w:rsid w:val="00C6330D"/>
    <w:rsid w:val="00C63836"/>
    <w:rsid w:val="00C63928"/>
    <w:rsid w:val="00C63ABB"/>
    <w:rsid w:val="00C6530B"/>
    <w:rsid w:val="00C656CD"/>
    <w:rsid w:val="00C65DCC"/>
    <w:rsid w:val="00C665A0"/>
    <w:rsid w:val="00C677B9"/>
    <w:rsid w:val="00C67DC6"/>
    <w:rsid w:val="00C70705"/>
    <w:rsid w:val="00C71284"/>
    <w:rsid w:val="00C72B6D"/>
    <w:rsid w:val="00C72FAF"/>
    <w:rsid w:val="00C7504A"/>
    <w:rsid w:val="00C75F2F"/>
    <w:rsid w:val="00C75F80"/>
    <w:rsid w:val="00C7661D"/>
    <w:rsid w:val="00C77085"/>
    <w:rsid w:val="00C77156"/>
    <w:rsid w:val="00C8088A"/>
    <w:rsid w:val="00C80C6F"/>
    <w:rsid w:val="00C80E7B"/>
    <w:rsid w:val="00C80E97"/>
    <w:rsid w:val="00C81D4F"/>
    <w:rsid w:val="00C82A87"/>
    <w:rsid w:val="00C84A1B"/>
    <w:rsid w:val="00C84C20"/>
    <w:rsid w:val="00C85457"/>
    <w:rsid w:val="00C855CE"/>
    <w:rsid w:val="00C87A19"/>
    <w:rsid w:val="00C90A8E"/>
    <w:rsid w:val="00C910DD"/>
    <w:rsid w:val="00C922C3"/>
    <w:rsid w:val="00C92AF7"/>
    <w:rsid w:val="00C948D3"/>
    <w:rsid w:val="00C973A7"/>
    <w:rsid w:val="00C97EB2"/>
    <w:rsid w:val="00CA03FF"/>
    <w:rsid w:val="00CA11A8"/>
    <w:rsid w:val="00CA242A"/>
    <w:rsid w:val="00CA29E8"/>
    <w:rsid w:val="00CA3221"/>
    <w:rsid w:val="00CA34B7"/>
    <w:rsid w:val="00CA365A"/>
    <w:rsid w:val="00CA3976"/>
    <w:rsid w:val="00CA3AF5"/>
    <w:rsid w:val="00CA4A2C"/>
    <w:rsid w:val="00CA4C64"/>
    <w:rsid w:val="00CA5930"/>
    <w:rsid w:val="00CA69BA"/>
    <w:rsid w:val="00CA7313"/>
    <w:rsid w:val="00CB1A24"/>
    <w:rsid w:val="00CB1B9F"/>
    <w:rsid w:val="00CB2D20"/>
    <w:rsid w:val="00CB4B0E"/>
    <w:rsid w:val="00CB62B1"/>
    <w:rsid w:val="00CB6A10"/>
    <w:rsid w:val="00CB6BE0"/>
    <w:rsid w:val="00CB7951"/>
    <w:rsid w:val="00CB7D52"/>
    <w:rsid w:val="00CC20B4"/>
    <w:rsid w:val="00CC2E1B"/>
    <w:rsid w:val="00CC3173"/>
    <w:rsid w:val="00CC38DD"/>
    <w:rsid w:val="00CC7984"/>
    <w:rsid w:val="00CC7AA9"/>
    <w:rsid w:val="00CD02EF"/>
    <w:rsid w:val="00CD0735"/>
    <w:rsid w:val="00CD141C"/>
    <w:rsid w:val="00CD1638"/>
    <w:rsid w:val="00CD1F51"/>
    <w:rsid w:val="00CD251A"/>
    <w:rsid w:val="00CD2FEC"/>
    <w:rsid w:val="00CD366E"/>
    <w:rsid w:val="00CD36D3"/>
    <w:rsid w:val="00CD39AB"/>
    <w:rsid w:val="00CD42C4"/>
    <w:rsid w:val="00CD4363"/>
    <w:rsid w:val="00CD6DA5"/>
    <w:rsid w:val="00CE0D2E"/>
    <w:rsid w:val="00CE0FA0"/>
    <w:rsid w:val="00CE206A"/>
    <w:rsid w:val="00CE41E7"/>
    <w:rsid w:val="00CE4AD4"/>
    <w:rsid w:val="00CE4C1E"/>
    <w:rsid w:val="00CE541C"/>
    <w:rsid w:val="00CE5AF8"/>
    <w:rsid w:val="00CE6338"/>
    <w:rsid w:val="00CE653D"/>
    <w:rsid w:val="00CE6996"/>
    <w:rsid w:val="00CE6B5A"/>
    <w:rsid w:val="00CE7DF3"/>
    <w:rsid w:val="00CE7E3A"/>
    <w:rsid w:val="00CF0C03"/>
    <w:rsid w:val="00CF29BD"/>
    <w:rsid w:val="00CF3B95"/>
    <w:rsid w:val="00CF43D4"/>
    <w:rsid w:val="00CF70F7"/>
    <w:rsid w:val="00CF7A11"/>
    <w:rsid w:val="00D003DB"/>
    <w:rsid w:val="00D01014"/>
    <w:rsid w:val="00D014FD"/>
    <w:rsid w:val="00D0215C"/>
    <w:rsid w:val="00D02FA2"/>
    <w:rsid w:val="00D0319F"/>
    <w:rsid w:val="00D0478A"/>
    <w:rsid w:val="00D04924"/>
    <w:rsid w:val="00D04DFE"/>
    <w:rsid w:val="00D05F5D"/>
    <w:rsid w:val="00D06FFA"/>
    <w:rsid w:val="00D0716C"/>
    <w:rsid w:val="00D077D3"/>
    <w:rsid w:val="00D108DA"/>
    <w:rsid w:val="00D132F9"/>
    <w:rsid w:val="00D1461C"/>
    <w:rsid w:val="00D14C59"/>
    <w:rsid w:val="00D16F68"/>
    <w:rsid w:val="00D17C0B"/>
    <w:rsid w:val="00D17FD2"/>
    <w:rsid w:val="00D2031B"/>
    <w:rsid w:val="00D20C4C"/>
    <w:rsid w:val="00D20D37"/>
    <w:rsid w:val="00D21531"/>
    <w:rsid w:val="00D23415"/>
    <w:rsid w:val="00D24071"/>
    <w:rsid w:val="00D24611"/>
    <w:rsid w:val="00D24E01"/>
    <w:rsid w:val="00D25020"/>
    <w:rsid w:val="00D255FC"/>
    <w:rsid w:val="00D2573D"/>
    <w:rsid w:val="00D2629E"/>
    <w:rsid w:val="00D26FCF"/>
    <w:rsid w:val="00D27836"/>
    <w:rsid w:val="00D27E37"/>
    <w:rsid w:val="00D3150C"/>
    <w:rsid w:val="00D31898"/>
    <w:rsid w:val="00D325F8"/>
    <w:rsid w:val="00D330F4"/>
    <w:rsid w:val="00D33662"/>
    <w:rsid w:val="00D3428A"/>
    <w:rsid w:val="00D35672"/>
    <w:rsid w:val="00D35EE3"/>
    <w:rsid w:val="00D37B8E"/>
    <w:rsid w:val="00D418EF"/>
    <w:rsid w:val="00D41A43"/>
    <w:rsid w:val="00D41E30"/>
    <w:rsid w:val="00D433A2"/>
    <w:rsid w:val="00D43403"/>
    <w:rsid w:val="00D43EF3"/>
    <w:rsid w:val="00D44096"/>
    <w:rsid w:val="00D44962"/>
    <w:rsid w:val="00D45C58"/>
    <w:rsid w:val="00D45FEE"/>
    <w:rsid w:val="00D469EE"/>
    <w:rsid w:val="00D4715E"/>
    <w:rsid w:val="00D47972"/>
    <w:rsid w:val="00D47F6F"/>
    <w:rsid w:val="00D5029D"/>
    <w:rsid w:val="00D50717"/>
    <w:rsid w:val="00D50AB4"/>
    <w:rsid w:val="00D5114A"/>
    <w:rsid w:val="00D51299"/>
    <w:rsid w:val="00D5224C"/>
    <w:rsid w:val="00D5352D"/>
    <w:rsid w:val="00D53B24"/>
    <w:rsid w:val="00D53C47"/>
    <w:rsid w:val="00D5425F"/>
    <w:rsid w:val="00D54EE6"/>
    <w:rsid w:val="00D556A5"/>
    <w:rsid w:val="00D56358"/>
    <w:rsid w:val="00D56CA4"/>
    <w:rsid w:val="00D572A7"/>
    <w:rsid w:val="00D57865"/>
    <w:rsid w:val="00D60117"/>
    <w:rsid w:val="00D60DA7"/>
    <w:rsid w:val="00D617C7"/>
    <w:rsid w:val="00D61B8B"/>
    <w:rsid w:val="00D61B9D"/>
    <w:rsid w:val="00D62978"/>
    <w:rsid w:val="00D62EA6"/>
    <w:rsid w:val="00D62FA5"/>
    <w:rsid w:val="00D6465E"/>
    <w:rsid w:val="00D65FDB"/>
    <w:rsid w:val="00D6613D"/>
    <w:rsid w:val="00D67AFC"/>
    <w:rsid w:val="00D67D15"/>
    <w:rsid w:val="00D704A3"/>
    <w:rsid w:val="00D718FA"/>
    <w:rsid w:val="00D722AA"/>
    <w:rsid w:val="00D73696"/>
    <w:rsid w:val="00D73A72"/>
    <w:rsid w:val="00D75D89"/>
    <w:rsid w:val="00D761CB"/>
    <w:rsid w:val="00D777AA"/>
    <w:rsid w:val="00D77A68"/>
    <w:rsid w:val="00D77BC5"/>
    <w:rsid w:val="00D77FB2"/>
    <w:rsid w:val="00D80AF2"/>
    <w:rsid w:val="00D819B4"/>
    <w:rsid w:val="00D82B39"/>
    <w:rsid w:val="00D83394"/>
    <w:rsid w:val="00D83B28"/>
    <w:rsid w:val="00D84494"/>
    <w:rsid w:val="00D8587C"/>
    <w:rsid w:val="00D864FB"/>
    <w:rsid w:val="00D86623"/>
    <w:rsid w:val="00D868C2"/>
    <w:rsid w:val="00D86E55"/>
    <w:rsid w:val="00D870A9"/>
    <w:rsid w:val="00D8753D"/>
    <w:rsid w:val="00D9001B"/>
    <w:rsid w:val="00D9100A"/>
    <w:rsid w:val="00D91AF7"/>
    <w:rsid w:val="00D9208E"/>
    <w:rsid w:val="00D9252A"/>
    <w:rsid w:val="00D929F5"/>
    <w:rsid w:val="00D93365"/>
    <w:rsid w:val="00D95F38"/>
    <w:rsid w:val="00D96047"/>
    <w:rsid w:val="00D974CA"/>
    <w:rsid w:val="00D9792B"/>
    <w:rsid w:val="00DA0475"/>
    <w:rsid w:val="00DA16AD"/>
    <w:rsid w:val="00DA2302"/>
    <w:rsid w:val="00DA3261"/>
    <w:rsid w:val="00DA3964"/>
    <w:rsid w:val="00DA3A70"/>
    <w:rsid w:val="00DA432A"/>
    <w:rsid w:val="00DA43EF"/>
    <w:rsid w:val="00DA4B11"/>
    <w:rsid w:val="00DA4EAB"/>
    <w:rsid w:val="00DA5527"/>
    <w:rsid w:val="00DA5768"/>
    <w:rsid w:val="00DA6311"/>
    <w:rsid w:val="00DA7645"/>
    <w:rsid w:val="00DB0729"/>
    <w:rsid w:val="00DB0CCB"/>
    <w:rsid w:val="00DB1399"/>
    <w:rsid w:val="00DB20B1"/>
    <w:rsid w:val="00DB3F0E"/>
    <w:rsid w:val="00DB4359"/>
    <w:rsid w:val="00DB4BAE"/>
    <w:rsid w:val="00DB5248"/>
    <w:rsid w:val="00DB585E"/>
    <w:rsid w:val="00DB59D2"/>
    <w:rsid w:val="00DB6577"/>
    <w:rsid w:val="00DB6AE4"/>
    <w:rsid w:val="00DB7C4B"/>
    <w:rsid w:val="00DC1099"/>
    <w:rsid w:val="00DC1F81"/>
    <w:rsid w:val="00DC335E"/>
    <w:rsid w:val="00DC35FA"/>
    <w:rsid w:val="00DC393E"/>
    <w:rsid w:val="00DC64C4"/>
    <w:rsid w:val="00DC74A0"/>
    <w:rsid w:val="00DD0725"/>
    <w:rsid w:val="00DD11DB"/>
    <w:rsid w:val="00DD170A"/>
    <w:rsid w:val="00DD1B1B"/>
    <w:rsid w:val="00DD2759"/>
    <w:rsid w:val="00DD2A80"/>
    <w:rsid w:val="00DD3C42"/>
    <w:rsid w:val="00DD404A"/>
    <w:rsid w:val="00DD41DB"/>
    <w:rsid w:val="00DD5605"/>
    <w:rsid w:val="00DD5C70"/>
    <w:rsid w:val="00DD5E8A"/>
    <w:rsid w:val="00DE04AE"/>
    <w:rsid w:val="00DE0E7A"/>
    <w:rsid w:val="00DE31E8"/>
    <w:rsid w:val="00DE4248"/>
    <w:rsid w:val="00DE4E36"/>
    <w:rsid w:val="00DE5021"/>
    <w:rsid w:val="00DE66BD"/>
    <w:rsid w:val="00DE711A"/>
    <w:rsid w:val="00DE7AD9"/>
    <w:rsid w:val="00DE7CD6"/>
    <w:rsid w:val="00DF00E2"/>
    <w:rsid w:val="00DF0D93"/>
    <w:rsid w:val="00DF125B"/>
    <w:rsid w:val="00DF3291"/>
    <w:rsid w:val="00DF39BC"/>
    <w:rsid w:val="00DF3B07"/>
    <w:rsid w:val="00DF3E80"/>
    <w:rsid w:val="00DF5305"/>
    <w:rsid w:val="00DF5B08"/>
    <w:rsid w:val="00DF60F1"/>
    <w:rsid w:val="00DF6361"/>
    <w:rsid w:val="00DF6734"/>
    <w:rsid w:val="00E00179"/>
    <w:rsid w:val="00E0066A"/>
    <w:rsid w:val="00E00D90"/>
    <w:rsid w:val="00E01657"/>
    <w:rsid w:val="00E0233C"/>
    <w:rsid w:val="00E02863"/>
    <w:rsid w:val="00E04200"/>
    <w:rsid w:val="00E04910"/>
    <w:rsid w:val="00E04BA2"/>
    <w:rsid w:val="00E053E6"/>
    <w:rsid w:val="00E07788"/>
    <w:rsid w:val="00E0784F"/>
    <w:rsid w:val="00E07E59"/>
    <w:rsid w:val="00E1007C"/>
    <w:rsid w:val="00E102DD"/>
    <w:rsid w:val="00E1048F"/>
    <w:rsid w:val="00E11070"/>
    <w:rsid w:val="00E1226A"/>
    <w:rsid w:val="00E122EA"/>
    <w:rsid w:val="00E12A3A"/>
    <w:rsid w:val="00E20B5D"/>
    <w:rsid w:val="00E20DDF"/>
    <w:rsid w:val="00E217C2"/>
    <w:rsid w:val="00E22699"/>
    <w:rsid w:val="00E22B3F"/>
    <w:rsid w:val="00E2301D"/>
    <w:rsid w:val="00E2380A"/>
    <w:rsid w:val="00E2415C"/>
    <w:rsid w:val="00E24CB6"/>
    <w:rsid w:val="00E25B57"/>
    <w:rsid w:val="00E26612"/>
    <w:rsid w:val="00E26712"/>
    <w:rsid w:val="00E274FD"/>
    <w:rsid w:val="00E313BD"/>
    <w:rsid w:val="00E314E2"/>
    <w:rsid w:val="00E31D8F"/>
    <w:rsid w:val="00E32044"/>
    <w:rsid w:val="00E32DD6"/>
    <w:rsid w:val="00E33227"/>
    <w:rsid w:val="00E3323C"/>
    <w:rsid w:val="00E34131"/>
    <w:rsid w:val="00E3475A"/>
    <w:rsid w:val="00E34827"/>
    <w:rsid w:val="00E34B21"/>
    <w:rsid w:val="00E35E04"/>
    <w:rsid w:val="00E36C42"/>
    <w:rsid w:val="00E378D3"/>
    <w:rsid w:val="00E37CC9"/>
    <w:rsid w:val="00E37F11"/>
    <w:rsid w:val="00E4031D"/>
    <w:rsid w:val="00E41310"/>
    <w:rsid w:val="00E417E4"/>
    <w:rsid w:val="00E4214C"/>
    <w:rsid w:val="00E42DD7"/>
    <w:rsid w:val="00E43265"/>
    <w:rsid w:val="00E45635"/>
    <w:rsid w:val="00E4581E"/>
    <w:rsid w:val="00E46BB8"/>
    <w:rsid w:val="00E47AAC"/>
    <w:rsid w:val="00E47AB8"/>
    <w:rsid w:val="00E508EE"/>
    <w:rsid w:val="00E50E42"/>
    <w:rsid w:val="00E51157"/>
    <w:rsid w:val="00E55124"/>
    <w:rsid w:val="00E552AE"/>
    <w:rsid w:val="00E557EA"/>
    <w:rsid w:val="00E55952"/>
    <w:rsid w:val="00E55DC1"/>
    <w:rsid w:val="00E5648F"/>
    <w:rsid w:val="00E56B57"/>
    <w:rsid w:val="00E5758D"/>
    <w:rsid w:val="00E57AFF"/>
    <w:rsid w:val="00E60584"/>
    <w:rsid w:val="00E6165D"/>
    <w:rsid w:val="00E61C69"/>
    <w:rsid w:val="00E62110"/>
    <w:rsid w:val="00E62E8F"/>
    <w:rsid w:val="00E635C2"/>
    <w:rsid w:val="00E63970"/>
    <w:rsid w:val="00E63B7D"/>
    <w:rsid w:val="00E65CC2"/>
    <w:rsid w:val="00E668A0"/>
    <w:rsid w:val="00E67E14"/>
    <w:rsid w:val="00E70BFE"/>
    <w:rsid w:val="00E71223"/>
    <w:rsid w:val="00E71DE2"/>
    <w:rsid w:val="00E7288F"/>
    <w:rsid w:val="00E746E1"/>
    <w:rsid w:val="00E75EAA"/>
    <w:rsid w:val="00E76B20"/>
    <w:rsid w:val="00E770E4"/>
    <w:rsid w:val="00E77500"/>
    <w:rsid w:val="00E778C3"/>
    <w:rsid w:val="00E804DE"/>
    <w:rsid w:val="00E813F9"/>
    <w:rsid w:val="00E818A5"/>
    <w:rsid w:val="00E823C8"/>
    <w:rsid w:val="00E8242B"/>
    <w:rsid w:val="00E824D6"/>
    <w:rsid w:val="00E82F1D"/>
    <w:rsid w:val="00E83ABB"/>
    <w:rsid w:val="00E83DA2"/>
    <w:rsid w:val="00E83E86"/>
    <w:rsid w:val="00E84488"/>
    <w:rsid w:val="00E84E84"/>
    <w:rsid w:val="00E84FA4"/>
    <w:rsid w:val="00E84FE7"/>
    <w:rsid w:val="00E86D6A"/>
    <w:rsid w:val="00E87DCF"/>
    <w:rsid w:val="00E90B08"/>
    <w:rsid w:val="00E918C3"/>
    <w:rsid w:val="00E91C6D"/>
    <w:rsid w:val="00E91F96"/>
    <w:rsid w:val="00E92225"/>
    <w:rsid w:val="00E9247D"/>
    <w:rsid w:val="00E92AA8"/>
    <w:rsid w:val="00E92DD6"/>
    <w:rsid w:val="00E93263"/>
    <w:rsid w:val="00E94318"/>
    <w:rsid w:val="00E947EC"/>
    <w:rsid w:val="00E94D26"/>
    <w:rsid w:val="00E94E23"/>
    <w:rsid w:val="00E9520A"/>
    <w:rsid w:val="00E9543A"/>
    <w:rsid w:val="00E958DF"/>
    <w:rsid w:val="00E95B82"/>
    <w:rsid w:val="00E95C10"/>
    <w:rsid w:val="00E95E3A"/>
    <w:rsid w:val="00E96234"/>
    <w:rsid w:val="00E96E0D"/>
    <w:rsid w:val="00E96ED6"/>
    <w:rsid w:val="00E9731E"/>
    <w:rsid w:val="00E976B0"/>
    <w:rsid w:val="00EA0319"/>
    <w:rsid w:val="00EA10FC"/>
    <w:rsid w:val="00EA16A5"/>
    <w:rsid w:val="00EA2F4E"/>
    <w:rsid w:val="00EA32BE"/>
    <w:rsid w:val="00EA450E"/>
    <w:rsid w:val="00EA4AAC"/>
    <w:rsid w:val="00EA4C55"/>
    <w:rsid w:val="00EA4C80"/>
    <w:rsid w:val="00EA547B"/>
    <w:rsid w:val="00EA5EBF"/>
    <w:rsid w:val="00EA64DE"/>
    <w:rsid w:val="00EA7238"/>
    <w:rsid w:val="00EA74F6"/>
    <w:rsid w:val="00EA7C42"/>
    <w:rsid w:val="00EB00CC"/>
    <w:rsid w:val="00EB0322"/>
    <w:rsid w:val="00EB0413"/>
    <w:rsid w:val="00EB2C4D"/>
    <w:rsid w:val="00EB2CA9"/>
    <w:rsid w:val="00EB342B"/>
    <w:rsid w:val="00EB4077"/>
    <w:rsid w:val="00EB67CA"/>
    <w:rsid w:val="00EB6DFA"/>
    <w:rsid w:val="00EC09A9"/>
    <w:rsid w:val="00EC0A25"/>
    <w:rsid w:val="00EC1275"/>
    <w:rsid w:val="00EC1636"/>
    <w:rsid w:val="00EC1CC6"/>
    <w:rsid w:val="00EC200C"/>
    <w:rsid w:val="00EC2061"/>
    <w:rsid w:val="00EC34B0"/>
    <w:rsid w:val="00EC38AA"/>
    <w:rsid w:val="00EC3DC8"/>
    <w:rsid w:val="00EC3FF5"/>
    <w:rsid w:val="00EC5349"/>
    <w:rsid w:val="00EC7997"/>
    <w:rsid w:val="00ED001D"/>
    <w:rsid w:val="00ED2744"/>
    <w:rsid w:val="00ED2922"/>
    <w:rsid w:val="00ED36BD"/>
    <w:rsid w:val="00ED39A3"/>
    <w:rsid w:val="00ED3A2C"/>
    <w:rsid w:val="00ED4173"/>
    <w:rsid w:val="00ED606F"/>
    <w:rsid w:val="00ED66D0"/>
    <w:rsid w:val="00ED6B1B"/>
    <w:rsid w:val="00ED6FF7"/>
    <w:rsid w:val="00ED7620"/>
    <w:rsid w:val="00EE000B"/>
    <w:rsid w:val="00EE0378"/>
    <w:rsid w:val="00EE0658"/>
    <w:rsid w:val="00EE06E6"/>
    <w:rsid w:val="00EE122D"/>
    <w:rsid w:val="00EE1837"/>
    <w:rsid w:val="00EE1902"/>
    <w:rsid w:val="00EE1F05"/>
    <w:rsid w:val="00EE1F2E"/>
    <w:rsid w:val="00EE2010"/>
    <w:rsid w:val="00EE3173"/>
    <w:rsid w:val="00EE31E4"/>
    <w:rsid w:val="00EE3245"/>
    <w:rsid w:val="00EE369B"/>
    <w:rsid w:val="00EE3BD2"/>
    <w:rsid w:val="00EE43EE"/>
    <w:rsid w:val="00EE5753"/>
    <w:rsid w:val="00EE6423"/>
    <w:rsid w:val="00EE750A"/>
    <w:rsid w:val="00EF0057"/>
    <w:rsid w:val="00EF0C10"/>
    <w:rsid w:val="00EF0D9F"/>
    <w:rsid w:val="00EF159A"/>
    <w:rsid w:val="00EF194C"/>
    <w:rsid w:val="00EF2CD6"/>
    <w:rsid w:val="00EF4D72"/>
    <w:rsid w:val="00EF4FE8"/>
    <w:rsid w:val="00EF5D49"/>
    <w:rsid w:val="00EF685D"/>
    <w:rsid w:val="00EF6F8E"/>
    <w:rsid w:val="00EF6FAF"/>
    <w:rsid w:val="00F012D5"/>
    <w:rsid w:val="00F024F6"/>
    <w:rsid w:val="00F025D2"/>
    <w:rsid w:val="00F02FB3"/>
    <w:rsid w:val="00F03CBA"/>
    <w:rsid w:val="00F04DFE"/>
    <w:rsid w:val="00F05CE8"/>
    <w:rsid w:val="00F10B9C"/>
    <w:rsid w:val="00F10C1E"/>
    <w:rsid w:val="00F1352F"/>
    <w:rsid w:val="00F13FD5"/>
    <w:rsid w:val="00F14512"/>
    <w:rsid w:val="00F1481A"/>
    <w:rsid w:val="00F15B64"/>
    <w:rsid w:val="00F15D87"/>
    <w:rsid w:val="00F15DEA"/>
    <w:rsid w:val="00F171F2"/>
    <w:rsid w:val="00F20E82"/>
    <w:rsid w:val="00F210AB"/>
    <w:rsid w:val="00F21645"/>
    <w:rsid w:val="00F21D14"/>
    <w:rsid w:val="00F21EA3"/>
    <w:rsid w:val="00F21FF6"/>
    <w:rsid w:val="00F2201D"/>
    <w:rsid w:val="00F22A30"/>
    <w:rsid w:val="00F22AFC"/>
    <w:rsid w:val="00F22F14"/>
    <w:rsid w:val="00F2390D"/>
    <w:rsid w:val="00F2453F"/>
    <w:rsid w:val="00F247C3"/>
    <w:rsid w:val="00F255BA"/>
    <w:rsid w:val="00F25664"/>
    <w:rsid w:val="00F26C3C"/>
    <w:rsid w:val="00F26D4B"/>
    <w:rsid w:val="00F30B6F"/>
    <w:rsid w:val="00F30FFF"/>
    <w:rsid w:val="00F316D8"/>
    <w:rsid w:val="00F322FC"/>
    <w:rsid w:val="00F330EA"/>
    <w:rsid w:val="00F3330D"/>
    <w:rsid w:val="00F350D6"/>
    <w:rsid w:val="00F363D2"/>
    <w:rsid w:val="00F3686C"/>
    <w:rsid w:val="00F37E40"/>
    <w:rsid w:val="00F412C6"/>
    <w:rsid w:val="00F42635"/>
    <w:rsid w:val="00F42E3C"/>
    <w:rsid w:val="00F42F24"/>
    <w:rsid w:val="00F43CB9"/>
    <w:rsid w:val="00F45BCD"/>
    <w:rsid w:val="00F46E46"/>
    <w:rsid w:val="00F47613"/>
    <w:rsid w:val="00F5048F"/>
    <w:rsid w:val="00F5056D"/>
    <w:rsid w:val="00F50754"/>
    <w:rsid w:val="00F513D4"/>
    <w:rsid w:val="00F52251"/>
    <w:rsid w:val="00F53ADB"/>
    <w:rsid w:val="00F53D95"/>
    <w:rsid w:val="00F5437C"/>
    <w:rsid w:val="00F5581C"/>
    <w:rsid w:val="00F563F3"/>
    <w:rsid w:val="00F571CB"/>
    <w:rsid w:val="00F5750D"/>
    <w:rsid w:val="00F579B9"/>
    <w:rsid w:val="00F62176"/>
    <w:rsid w:val="00F63D0A"/>
    <w:rsid w:val="00F6428B"/>
    <w:rsid w:val="00F64397"/>
    <w:rsid w:val="00F651EF"/>
    <w:rsid w:val="00F65B22"/>
    <w:rsid w:val="00F66034"/>
    <w:rsid w:val="00F66106"/>
    <w:rsid w:val="00F66D48"/>
    <w:rsid w:val="00F672AA"/>
    <w:rsid w:val="00F67C82"/>
    <w:rsid w:val="00F7114E"/>
    <w:rsid w:val="00F72EA6"/>
    <w:rsid w:val="00F72F61"/>
    <w:rsid w:val="00F7353C"/>
    <w:rsid w:val="00F73E0B"/>
    <w:rsid w:val="00F7500A"/>
    <w:rsid w:val="00F75120"/>
    <w:rsid w:val="00F75946"/>
    <w:rsid w:val="00F75A78"/>
    <w:rsid w:val="00F7601B"/>
    <w:rsid w:val="00F760F0"/>
    <w:rsid w:val="00F7619F"/>
    <w:rsid w:val="00F77951"/>
    <w:rsid w:val="00F8081C"/>
    <w:rsid w:val="00F80F22"/>
    <w:rsid w:val="00F837B1"/>
    <w:rsid w:val="00F837DE"/>
    <w:rsid w:val="00F85AAB"/>
    <w:rsid w:val="00F874A7"/>
    <w:rsid w:val="00F87867"/>
    <w:rsid w:val="00F87960"/>
    <w:rsid w:val="00F8797E"/>
    <w:rsid w:val="00F87CC0"/>
    <w:rsid w:val="00F906A3"/>
    <w:rsid w:val="00F90B02"/>
    <w:rsid w:val="00F91E46"/>
    <w:rsid w:val="00F91EC3"/>
    <w:rsid w:val="00F91FB7"/>
    <w:rsid w:val="00F927AE"/>
    <w:rsid w:val="00F92848"/>
    <w:rsid w:val="00F9333F"/>
    <w:rsid w:val="00F93A22"/>
    <w:rsid w:val="00F94353"/>
    <w:rsid w:val="00F949F3"/>
    <w:rsid w:val="00F94D40"/>
    <w:rsid w:val="00F96DCE"/>
    <w:rsid w:val="00F96FC4"/>
    <w:rsid w:val="00FA00F7"/>
    <w:rsid w:val="00FA0989"/>
    <w:rsid w:val="00FA1C33"/>
    <w:rsid w:val="00FA23CD"/>
    <w:rsid w:val="00FA2B2D"/>
    <w:rsid w:val="00FA2F80"/>
    <w:rsid w:val="00FA45B5"/>
    <w:rsid w:val="00FA4B97"/>
    <w:rsid w:val="00FA56DF"/>
    <w:rsid w:val="00FA6331"/>
    <w:rsid w:val="00FA6A74"/>
    <w:rsid w:val="00FA7951"/>
    <w:rsid w:val="00FA7A8A"/>
    <w:rsid w:val="00FA7ADC"/>
    <w:rsid w:val="00FB0C6D"/>
    <w:rsid w:val="00FB0FF9"/>
    <w:rsid w:val="00FB1323"/>
    <w:rsid w:val="00FB19D0"/>
    <w:rsid w:val="00FB1BAB"/>
    <w:rsid w:val="00FB1DE1"/>
    <w:rsid w:val="00FB3163"/>
    <w:rsid w:val="00FB3830"/>
    <w:rsid w:val="00FB5A29"/>
    <w:rsid w:val="00FB5E06"/>
    <w:rsid w:val="00FB769F"/>
    <w:rsid w:val="00FB79F9"/>
    <w:rsid w:val="00FC026F"/>
    <w:rsid w:val="00FC0608"/>
    <w:rsid w:val="00FC06DF"/>
    <w:rsid w:val="00FC1308"/>
    <w:rsid w:val="00FC1778"/>
    <w:rsid w:val="00FC1DD1"/>
    <w:rsid w:val="00FC1EA8"/>
    <w:rsid w:val="00FC2398"/>
    <w:rsid w:val="00FC3824"/>
    <w:rsid w:val="00FC3A35"/>
    <w:rsid w:val="00FC3EB5"/>
    <w:rsid w:val="00FC43A7"/>
    <w:rsid w:val="00FC4444"/>
    <w:rsid w:val="00FC5164"/>
    <w:rsid w:val="00FC54E9"/>
    <w:rsid w:val="00FC5E0D"/>
    <w:rsid w:val="00FC656A"/>
    <w:rsid w:val="00FC689B"/>
    <w:rsid w:val="00FC7E5B"/>
    <w:rsid w:val="00FD0E33"/>
    <w:rsid w:val="00FD131A"/>
    <w:rsid w:val="00FD1B3A"/>
    <w:rsid w:val="00FD2380"/>
    <w:rsid w:val="00FD23F1"/>
    <w:rsid w:val="00FD290E"/>
    <w:rsid w:val="00FD2D4E"/>
    <w:rsid w:val="00FD3762"/>
    <w:rsid w:val="00FD4699"/>
    <w:rsid w:val="00FD57F7"/>
    <w:rsid w:val="00FD66D3"/>
    <w:rsid w:val="00FD6DF3"/>
    <w:rsid w:val="00FD6F4F"/>
    <w:rsid w:val="00FE0351"/>
    <w:rsid w:val="00FE1B8B"/>
    <w:rsid w:val="00FE206E"/>
    <w:rsid w:val="00FE2B9D"/>
    <w:rsid w:val="00FE2E82"/>
    <w:rsid w:val="00FE5B4B"/>
    <w:rsid w:val="00FE6A8B"/>
    <w:rsid w:val="00FE740F"/>
    <w:rsid w:val="00FE74D6"/>
    <w:rsid w:val="00FE793A"/>
    <w:rsid w:val="00FF03DE"/>
    <w:rsid w:val="00FF359A"/>
    <w:rsid w:val="00FF406A"/>
    <w:rsid w:val="00FF44F4"/>
    <w:rsid w:val="00FF503C"/>
    <w:rsid w:val="00FF51D7"/>
    <w:rsid w:val="00FF593D"/>
    <w:rsid w:val="00FF6CC9"/>
    <w:rsid w:val="00FF7555"/>
    <w:rsid w:val="00FF75CC"/>
    <w:rsid w:val="00FF7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348"/>
    <w:rPr>
      <w:rFonts w:ascii="Times New Roman" w:hAnsi="Times New Roman"/>
      <w:sz w:val="24"/>
    </w:rPr>
  </w:style>
  <w:style w:type="paragraph" w:styleId="Heading1">
    <w:name w:val="heading 1"/>
    <w:basedOn w:val="Normal"/>
    <w:next w:val="Normal"/>
    <w:link w:val="Heading1Char"/>
    <w:qFormat/>
    <w:rsid w:val="00D61B9D"/>
    <w:pPr>
      <w:keepNext/>
      <w:spacing w:before="240" w:after="0" w:line="480" w:lineRule="exact"/>
      <w:ind w:left="720" w:right="547" w:hanging="720"/>
      <w:jc w:val="both"/>
      <w:outlineLvl w:val="0"/>
    </w:pPr>
    <w:rPr>
      <w:rFonts w:ascii="Times" w:eastAsia="Times New Roman" w:hAnsi="Times" w:cs="Times New Roman"/>
      <w:b/>
      <w:szCs w:val="20"/>
    </w:rPr>
  </w:style>
  <w:style w:type="paragraph" w:styleId="Heading2">
    <w:name w:val="heading 2"/>
    <w:basedOn w:val="Normal"/>
    <w:next w:val="Normal"/>
    <w:link w:val="Heading2Char"/>
    <w:qFormat/>
    <w:rsid w:val="0054097F"/>
    <w:pPr>
      <w:keepNext/>
      <w:spacing w:before="240" w:after="0" w:line="480" w:lineRule="exact"/>
      <w:ind w:right="547" w:firstLine="720"/>
      <w:jc w:val="both"/>
      <w:outlineLvl w:val="1"/>
    </w:pPr>
    <w:rPr>
      <w:rFonts w:ascii="Times" w:eastAsia="Times New Roman" w:hAnsi="Times" w:cs="Times New Roman"/>
      <w:b/>
      <w:szCs w:val="20"/>
    </w:rPr>
  </w:style>
  <w:style w:type="paragraph" w:styleId="Heading3">
    <w:name w:val="heading 3"/>
    <w:basedOn w:val="Normal"/>
    <w:next w:val="Normal"/>
    <w:link w:val="Heading3Char"/>
    <w:qFormat/>
    <w:rsid w:val="00D23415"/>
    <w:pPr>
      <w:keepNext/>
      <w:numPr>
        <w:numId w:val="6"/>
      </w:numPr>
      <w:tabs>
        <w:tab w:val="clear" w:pos="360"/>
        <w:tab w:val="num" w:pos="720"/>
      </w:tabs>
      <w:spacing w:after="0" w:line="480" w:lineRule="exact"/>
      <w:ind w:left="720" w:right="540" w:hanging="720"/>
      <w:jc w:val="both"/>
      <w:outlineLvl w:val="2"/>
    </w:pPr>
    <w:rPr>
      <w:rFonts w:eastAsia="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B9D"/>
    <w:rPr>
      <w:rFonts w:ascii="Times" w:eastAsia="Times New Roman" w:hAnsi="Times" w:cs="Times New Roman"/>
      <w:b/>
      <w:sz w:val="24"/>
      <w:szCs w:val="20"/>
    </w:rPr>
  </w:style>
  <w:style w:type="character" w:customStyle="1" w:styleId="Heading2Char">
    <w:name w:val="Heading 2 Char"/>
    <w:basedOn w:val="DefaultParagraphFont"/>
    <w:link w:val="Heading2"/>
    <w:rsid w:val="0054097F"/>
    <w:rPr>
      <w:rFonts w:ascii="Times" w:eastAsia="Times New Roman" w:hAnsi="Times" w:cs="Times New Roman"/>
      <w:b/>
      <w:sz w:val="24"/>
      <w:szCs w:val="20"/>
    </w:rPr>
  </w:style>
  <w:style w:type="character" w:customStyle="1" w:styleId="Heading3Char">
    <w:name w:val="Heading 3 Char"/>
    <w:basedOn w:val="DefaultParagraphFont"/>
    <w:link w:val="Heading3"/>
    <w:rsid w:val="00D23415"/>
    <w:rPr>
      <w:rFonts w:ascii="Times New Roman" w:eastAsia="Times New Roman" w:hAnsi="Times New Roman" w:cs="Times New Roman"/>
      <w:b/>
      <w:sz w:val="20"/>
      <w:szCs w:val="20"/>
    </w:rPr>
  </w:style>
  <w:style w:type="numbering" w:customStyle="1" w:styleId="NoList1">
    <w:name w:val="No List1"/>
    <w:next w:val="NoList"/>
    <w:semiHidden/>
    <w:rsid w:val="00D23415"/>
  </w:style>
  <w:style w:type="paragraph" w:styleId="Header">
    <w:name w:val="header"/>
    <w:basedOn w:val="Normal"/>
    <w:link w:val="HeaderChar"/>
    <w:rsid w:val="00D23415"/>
    <w:pPr>
      <w:tabs>
        <w:tab w:val="center" w:pos="4320"/>
        <w:tab w:val="right" w:pos="8640"/>
      </w:tabs>
      <w:spacing w:after="0" w:line="240" w:lineRule="auto"/>
    </w:pPr>
    <w:rPr>
      <w:rFonts w:eastAsia="Times New Roman" w:cs="Times New Roman"/>
      <w:sz w:val="20"/>
      <w:szCs w:val="20"/>
    </w:rPr>
  </w:style>
  <w:style w:type="character" w:customStyle="1" w:styleId="HeaderChar">
    <w:name w:val="Header Char"/>
    <w:basedOn w:val="DefaultParagraphFont"/>
    <w:link w:val="Header"/>
    <w:rsid w:val="00D23415"/>
    <w:rPr>
      <w:rFonts w:ascii="Times New Roman" w:eastAsia="Times New Roman" w:hAnsi="Times New Roman" w:cs="Times New Roman"/>
      <w:sz w:val="20"/>
      <w:szCs w:val="20"/>
    </w:rPr>
  </w:style>
  <w:style w:type="paragraph" w:styleId="Footer">
    <w:name w:val="footer"/>
    <w:basedOn w:val="Normal"/>
    <w:link w:val="FooterChar"/>
    <w:rsid w:val="00D23415"/>
    <w:pPr>
      <w:tabs>
        <w:tab w:val="center" w:pos="4320"/>
        <w:tab w:val="right" w:pos="8640"/>
      </w:tabs>
      <w:spacing w:after="0" w:line="240" w:lineRule="auto"/>
    </w:pPr>
    <w:rPr>
      <w:rFonts w:eastAsia="Times New Roman" w:cs="Times New Roman"/>
      <w:sz w:val="20"/>
      <w:szCs w:val="20"/>
    </w:rPr>
  </w:style>
  <w:style w:type="character" w:customStyle="1" w:styleId="FooterChar">
    <w:name w:val="Footer Char"/>
    <w:basedOn w:val="DefaultParagraphFont"/>
    <w:link w:val="Footer"/>
    <w:rsid w:val="00D23415"/>
    <w:rPr>
      <w:rFonts w:ascii="Times New Roman" w:eastAsia="Times New Roman" w:hAnsi="Times New Roman" w:cs="Times New Roman"/>
      <w:sz w:val="20"/>
      <w:szCs w:val="20"/>
    </w:rPr>
  </w:style>
  <w:style w:type="character" w:styleId="LineNumber">
    <w:name w:val="line number"/>
    <w:basedOn w:val="DefaultParagraphFont"/>
    <w:rsid w:val="00D23415"/>
  </w:style>
  <w:style w:type="character" w:styleId="PageNumber">
    <w:name w:val="page number"/>
    <w:basedOn w:val="DefaultParagraphFont"/>
    <w:rsid w:val="00D23415"/>
  </w:style>
  <w:style w:type="paragraph" w:styleId="BodyText">
    <w:name w:val="Body Text"/>
    <w:basedOn w:val="Normal"/>
    <w:link w:val="BodyTextChar"/>
    <w:rsid w:val="00D23415"/>
    <w:pPr>
      <w:spacing w:before="240" w:after="0" w:line="480" w:lineRule="exact"/>
      <w:ind w:right="540"/>
      <w:jc w:val="both"/>
    </w:pPr>
    <w:rPr>
      <w:rFonts w:ascii="Times" w:eastAsia="Times New Roman" w:hAnsi="Times" w:cs="Times New Roman"/>
      <w:szCs w:val="20"/>
    </w:rPr>
  </w:style>
  <w:style w:type="character" w:customStyle="1" w:styleId="BodyTextChar">
    <w:name w:val="Body Text Char"/>
    <w:basedOn w:val="DefaultParagraphFont"/>
    <w:link w:val="BodyText"/>
    <w:rsid w:val="00D23415"/>
    <w:rPr>
      <w:rFonts w:ascii="Times" w:eastAsia="Times New Roman" w:hAnsi="Times" w:cs="Times New Roman"/>
      <w:sz w:val="24"/>
      <w:szCs w:val="20"/>
    </w:rPr>
  </w:style>
  <w:style w:type="paragraph" w:styleId="BlockText">
    <w:name w:val="Block Text"/>
    <w:basedOn w:val="Normal"/>
    <w:rsid w:val="00D23415"/>
    <w:pPr>
      <w:spacing w:after="0" w:line="480" w:lineRule="exact"/>
      <w:ind w:left="720" w:right="540" w:hanging="720"/>
      <w:jc w:val="both"/>
    </w:pPr>
    <w:rPr>
      <w:rFonts w:ascii="Times" w:eastAsia="Times New Roman" w:hAnsi="Times" w:cs="Times New Roman"/>
      <w:szCs w:val="20"/>
    </w:rPr>
  </w:style>
  <w:style w:type="character" w:styleId="Hyperlink">
    <w:name w:val="Hyperlink"/>
    <w:basedOn w:val="DefaultParagraphFont"/>
    <w:uiPriority w:val="99"/>
    <w:rsid w:val="00D23415"/>
    <w:rPr>
      <w:color w:val="0000FF"/>
      <w:u w:val="single"/>
    </w:rPr>
  </w:style>
  <w:style w:type="paragraph" w:styleId="TOC1">
    <w:name w:val="toc 1"/>
    <w:basedOn w:val="Normal"/>
    <w:next w:val="Normal"/>
    <w:autoRedefine/>
    <w:uiPriority w:val="39"/>
    <w:rsid w:val="008A0BAF"/>
    <w:pPr>
      <w:tabs>
        <w:tab w:val="left" w:pos="600"/>
        <w:tab w:val="right" w:leader="dot" w:pos="9350"/>
      </w:tabs>
      <w:spacing w:after="0" w:line="240" w:lineRule="auto"/>
    </w:pPr>
    <w:rPr>
      <w:rFonts w:eastAsia="Times New Roman" w:cs="Times New Roman"/>
      <w:b/>
      <w:noProof/>
      <w:sz w:val="20"/>
      <w:szCs w:val="20"/>
    </w:rPr>
  </w:style>
  <w:style w:type="paragraph" w:styleId="TOC2">
    <w:name w:val="toc 2"/>
    <w:basedOn w:val="Normal"/>
    <w:next w:val="Normal"/>
    <w:autoRedefine/>
    <w:uiPriority w:val="39"/>
    <w:rsid w:val="00005DDC"/>
    <w:pPr>
      <w:tabs>
        <w:tab w:val="left" w:pos="800"/>
        <w:tab w:val="left" w:pos="1260"/>
        <w:tab w:val="right" w:leader="dot" w:pos="9350"/>
      </w:tabs>
      <w:spacing w:after="0" w:line="240" w:lineRule="auto"/>
      <w:ind w:left="202"/>
    </w:pPr>
    <w:rPr>
      <w:rFonts w:eastAsia="Times New Roman" w:cs="Times New Roman"/>
      <w:bCs/>
      <w:noProof/>
      <w:szCs w:val="24"/>
    </w:rPr>
  </w:style>
  <w:style w:type="paragraph" w:styleId="TOC3">
    <w:name w:val="toc 3"/>
    <w:basedOn w:val="Normal"/>
    <w:next w:val="Normal"/>
    <w:autoRedefine/>
    <w:semiHidden/>
    <w:rsid w:val="00D23415"/>
    <w:pPr>
      <w:tabs>
        <w:tab w:val="left" w:pos="800"/>
        <w:tab w:val="left" w:pos="1440"/>
        <w:tab w:val="left" w:pos="1800"/>
        <w:tab w:val="right" w:leader="dot" w:pos="9350"/>
      </w:tabs>
      <w:spacing w:after="0" w:line="240" w:lineRule="auto"/>
      <w:ind w:left="400"/>
    </w:pPr>
    <w:rPr>
      <w:rFonts w:eastAsia="Times New Roman" w:cs="Times New Roman"/>
      <w:sz w:val="20"/>
      <w:szCs w:val="20"/>
    </w:rPr>
  </w:style>
  <w:style w:type="paragraph" w:styleId="TOC4">
    <w:name w:val="toc 4"/>
    <w:basedOn w:val="Normal"/>
    <w:next w:val="Normal"/>
    <w:autoRedefine/>
    <w:semiHidden/>
    <w:rsid w:val="00D23415"/>
    <w:pPr>
      <w:spacing w:after="0" w:line="240" w:lineRule="auto"/>
      <w:ind w:left="600"/>
    </w:pPr>
    <w:rPr>
      <w:rFonts w:eastAsia="Times New Roman" w:cs="Times New Roman"/>
      <w:sz w:val="20"/>
      <w:szCs w:val="20"/>
    </w:rPr>
  </w:style>
  <w:style w:type="paragraph" w:styleId="TOC5">
    <w:name w:val="toc 5"/>
    <w:basedOn w:val="Normal"/>
    <w:next w:val="Normal"/>
    <w:autoRedefine/>
    <w:semiHidden/>
    <w:rsid w:val="00D23415"/>
    <w:pPr>
      <w:spacing w:after="0" w:line="240" w:lineRule="auto"/>
      <w:ind w:left="800"/>
    </w:pPr>
    <w:rPr>
      <w:rFonts w:eastAsia="Times New Roman" w:cs="Times New Roman"/>
      <w:sz w:val="20"/>
      <w:szCs w:val="20"/>
    </w:rPr>
  </w:style>
  <w:style w:type="paragraph" w:styleId="TOC6">
    <w:name w:val="toc 6"/>
    <w:basedOn w:val="Normal"/>
    <w:next w:val="Normal"/>
    <w:autoRedefine/>
    <w:semiHidden/>
    <w:rsid w:val="00D23415"/>
    <w:pPr>
      <w:spacing w:after="0" w:line="240" w:lineRule="auto"/>
      <w:ind w:left="1000"/>
    </w:pPr>
    <w:rPr>
      <w:rFonts w:eastAsia="Times New Roman" w:cs="Times New Roman"/>
      <w:sz w:val="20"/>
      <w:szCs w:val="20"/>
    </w:rPr>
  </w:style>
  <w:style w:type="paragraph" w:styleId="TOC7">
    <w:name w:val="toc 7"/>
    <w:basedOn w:val="Normal"/>
    <w:next w:val="Normal"/>
    <w:autoRedefine/>
    <w:semiHidden/>
    <w:rsid w:val="00D23415"/>
    <w:pPr>
      <w:spacing w:after="0" w:line="240" w:lineRule="auto"/>
      <w:ind w:left="1200"/>
    </w:pPr>
    <w:rPr>
      <w:rFonts w:eastAsia="Times New Roman" w:cs="Times New Roman"/>
      <w:sz w:val="20"/>
      <w:szCs w:val="20"/>
    </w:rPr>
  </w:style>
  <w:style w:type="paragraph" w:styleId="TOC8">
    <w:name w:val="toc 8"/>
    <w:basedOn w:val="Normal"/>
    <w:next w:val="Normal"/>
    <w:autoRedefine/>
    <w:semiHidden/>
    <w:rsid w:val="00D23415"/>
    <w:pPr>
      <w:spacing w:after="0" w:line="240" w:lineRule="auto"/>
      <w:ind w:left="1400"/>
    </w:pPr>
    <w:rPr>
      <w:rFonts w:eastAsia="Times New Roman" w:cs="Times New Roman"/>
      <w:sz w:val="20"/>
      <w:szCs w:val="20"/>
    </w:rPr>
  </w:style>
  <w:style w:type="paragraph" w:styleId="TOC9">
    <w:name w:val="toc 9"/>
    <w:basedOn w:val="Normal"/>
    <w:next w:val="Normal"/>
    <w:autoRedefine/>
    <w:semiHidden/>
    <w:rsid w:val="00D23415"/>
    <w:pPr>
      <w:spacing w:after="0" w:line="240" w:lineRule="auto"/>
      <w:ind w:left="1600"/>
    </w:pPr>
    <w:rPr>
      <w:rFonts w:eastAsia="Times New Roman" w:cs="Times New Roman"/>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D23415"/>
    <w:pPr>
      <w:spacing w:after="0" w:line="240" w:lineRule="auto"/>
    </w:pPr>
    <w:rPr>
      <w:rFonts w:eastAsia="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D23415"/>
    <w:rPr>
      <w:rFonts w:ascii="Times New Roman" w:eastAsia="Times New Roman" w:hAnsi="Times New Roman" w:cs="Times New Roman"/>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D23415"/>
    <w:rPr>
      <w:vertAlign w:val="superscript"/>
    </w:rPr>
  </w:style>
  <w:style w:type="paragraph" w:styleId="BalloonText">
    <w:name w:val="Balloon Text"/>
    <w:basedOn w:val="Normal"/>
    <w:link w:val="BalloonTextChar"/>
    <w:semiHidden/>
    <w:rsid w:val="00D2341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23415"/>
    <w:rPr>
      <w:rFonts w:ascii="Tahoma" w:eastAsia="Times New Roman" w:hAnsi="Tahoma" w:cs="Tahoma"/>
      <w:sz w:val="16"/>
      <w:szCs w:val="16"/>
    </w:rPr>
  </w:style>
  <w:style w:type="paragraph" w:customStyle="1" w:styleId="p8">
    <w:name w:val="p8"/>
    <w:basedOn w:val="Normal"/>
    <w:rsid w:val="00D23415"/>
    <w:pPr>
      <w:widowControl w:val="0"/>
      <w:tabs>
        <w:tab w:val="left" w:pos="740"/>
      </w:tabs>
      <w:spacing w:after="0" w:line="580" w:lineRule="atLeast"/>
      <w:ind w:left="720" w:hanging="720"/>
      <w:jc w:val="both"/>
    </w:pPr>
    <w:rPr>
      <w:rFonts w:eastAsia="Times New Roman" w:cs="Times New Roman"/>
      <w:snapToGrid w:val="0"/>
      <w:szCs w:val="20"/>
    </w:rPr>
  </w:style>
  <w:style w:type="paragraph" w:styleId="EndnoteText">
    <w:name w:val="endnote text"/>
    <w:basedOn w:val="Normal"/>
    <w:link w:val="EndnoteTextChar"/>
    <w:rsid w:val="00D2341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rsid w:val="00D23415"/>
    <w:rPr>
      <w:rFonts w:ascii="Times New Roman" w:eastAsia="Times New Roman" w:hAnsi="Times New Roman" w:cs="Times New Roman"/>
      <w:sz w:val="20"/>
      <w:szCs w:val="20"/>
    </w:rPr>
  </w:style>
  <w:style w:type="character" w:styleId="EndnoteReference">
    <w:name w:val="endnote reference"/>
    <w:basedOn w:val="DefaultParagraphFont"/>
    <w:rsid w:val="00D23415"/>
    <w:rPr>
      <w:vertAlign w:val="superscript"/>
    </w:rPr>
  </w:style>
  <w:style w:type="paragraph" w:customStyle="1" w:styleId="Testimony">
    <w:name w:val="Testimony"/>
    <w:basedOn w:val="Normal"/>
    <w:link w:val="TestimonyChar"/>
    <w:qFormat/>
    <w:rsid w:val="00E0233C"/>
    <w:pPr>
      <w:keepNext/>
      <w:spacing w:before="240" w:after="0" w:line="480" w:lineRule="exact"/>
      <w:ind w:right="547" w:firstLine="720"/>
      <w:jc w:val="both"/>
      <w:outlineLvl w:val="1"/>
    </w:pPr>
    <w:rPr>
      <w:rFonts w:ascii="Times" w:eastAsia="Times New Roman" w:hAnsi="Times" w:cs="Times New Roman"/>
      <w:b/>
      <w:bCs/>
      <w:szCs w:val="20"/>
    </w:rPr>
  </w:style>
  <w:style w:type="paragraph" w:styleId="TOCHeading">
    <w:name w:val="TOC Heading"/>
    <w:basedOn w:val="Heading1"/>
    <w:next w:val="Normal"/>
    <w:uiPriority w:val="39"/>
    <w:semiHidden/>
    <w:unhideWhenUsed/>
    <w:qFormat/>
    <w:rsid w:val="003C3124"/>
    <w:pPr>
      <w:keepLines/>
      <w:spacing w:before="480" w:line="276" w:lineRule="auto"/>
      <w:ind w:left="0" w:right="0" w:firstLine="0"/>
      <w:jc w:val="left"/>
      <w:outlineLvl w:val="9"/>
    </w:pPr>
    <w:rPr>
      <w:rFonts w:asciiTheme="majorHAnsi" w:eastAsiaTheme="majorEastAsia" w:hAnsiTheme="majorHAnsi" w:cstheme="majorBidi"/>
      <w:b w:val="0"/>
      <w:bCs/>
      <w:color w:val="365F91" w:themeColor="accent1" w:themeShade="BF"/>
      <w:sz w:val="28"/>
      <w:szCs w:val="28"/>
      <w:lang w:eastAsia="ja-JP"/>
    </w:rPr>
  </w:style>
  <w:style w:type="character" w:customStyle="1" w:styleId="TestimonyChar">
    <w:name w:val="Testimony Char"/>
    <w:basedOn w:val="DefaultParagraphFont"/>
    <w:link w:val="Testimony"/>
    <w:rsid w:val="00E0233C"/>
    <w:rPr>
      <w:rFonts w:ascii="Times" w:eastAsia="Times New Roman" w:hAnsi="Times" w:cs="Times New Roman"/>
      <w:b/>
      <w:bCs/>
      <w:sz w:val="24"/>
      <w:szCs w:val="20"/>
    </w:rPr>
  </w:style>
  <w:style w:type="paragraph" w:styleId="ListParagraph">
    <w:name w:val="List Paragraph"/>
    <w:basedOn w:val="Normal"/>
    <w:uiPriority w:val="34"/>
    <w:qFormat/>
    <w:rsid w:val="0061507E"/>
    <w:pPr>
      <w:ind w:left="720"/>
      <w:contextualSpacing/>
    </w:pPr>
  </w:style>
  <w:style w:type="table" w:styleId="TableGrid">
    <w:name w:val="Table Grid"/>
    <w:basedOn w:val="TableNormal"/>
    <w:uiPriority w:val="59"/>
    <w:rsid w:val="00455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
    <w:name w:val="SR(a)"/>
    <w:basedOn w:val="Normal"/>
    <w:rsid w:val="00E217C2"/>
    <w:pPr>
      <w:tabs>
        <w:tab w:val="left" w:pos="360"/>
        <w:tab w:val="left" w:pos="720"/>
        <w:tab w:val="left" w:pos="1872"/>
        <w:tab w:val="left" w:pos="2495"/>
        <w:tab w:val="left" w:pos="3071"/>
        <w:tab w:val="left" w:pos="3647"/>
        <w:tab w:val="left" w:pos="8910"/>
      </w:tabs>
      <w:spacing w:before="240" w:after="0" w:line="240" w:lineRule="auto"/>
      <w:ind w:left="720" w:hanging="446"/>
      <w:jc w:val="both"/>
    </w:pPr>
    <w:rPr>
      <w:rFonts w:eastAsia="Times New Roman" w:cs="Times New Roman"/>
      <w:sz w:val="20"/>
      <w:szCs w:val="20"/>
    </w:rPr>
  </w:style>
  <w:style w:type="paragraph" w:customStyle="1" w:styleId="GenInsta">
    <w:name w:val="Gen Inst a"/>
    <w:basedOn w:val="BodyText2"/>
    <w:rsid w:val="00E217C2"/>
    <w:pPr>
      <w:spacing w:after="0" w:line="360" w:lineRule="auto"/>
      <w:ind w:left="1440" w:hanging="720"/>
      <w:jc w:val="both"/>
    </w:pPr>
    <w:rPr>
      <w:rFonts w:eastAsia="Times New Roman" w:cs="Times New Roman"/>
      <w:szCs w:val="20"/>
    </w:rPr>
  </w:style>
  <w:style w:type="paragraph" w:styleId="BodyText2">
    <w:name w:val="Body Text 2"/>
    <w:basedOn w:val="Normal"/>
    <w:link w:val="BodyText2Char"/>
    <w:uiPriority w:val="99"/>
    <w:semiHidden/>
    <w:unhideWhenUsed/>
    <w:rsid w:val="00E217C2"/>
    <w:pPr>
      <w:spacing w:after="120" w:line="480" w:lineRule="auto"/>
    </w:pPr>
  </w:style>
  <w:style w:type="character" w:customStyle="1" w:styleId="BodyText2Char">
    <w:name w:val="Body Text 2 Char"/>
    <w:basedOn w:val="DefaultParagraphFont"/>
    <w:link w:val="BodyText2"/>
    <w:uiPriority w:val="99"/>
    <w:semiHidden/>
    <w:rsid w:val="00E217C2"/>
  </w:style>
  <w:style w:type="character" w:styleId="FollowedHyperlink">
    <w:name w:val="FollowedHyperlink"/>
    <w:basedOn w:val="DefaultParagraphFont"/>
    <w:uiPriority w:val="99"/>
    <w:semiHidden/>
    <w:unhideWhenUsed/>
    <w:rsid w:val="00C8088A"/>
    <w:rPr>
      <w:color w:val="800080" w:themeColor="followedHyperlink"/>
      <w:u w:val="single"/>
    </w:rPr>
  </w:style>
  <w:style w:type="paragraph" w:customStyle="1" w:styleId="Default">
    <w:name w:val="Default"/>
    <w:rsid w:val="00DE0E7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2ptJustifiedLeft0Hanging05LinespacingD">
    <w:name w:val="Style 12 pt Justified Left:  0&quot; Hanging:  0.5&quot; Line spacing:  D..."/>
    <w:basedOn w:val="Normal"/>
    <w:rsid w:val="006D0703"/>
    <w:pPr>
      <w:overflowPunct w:val="0"/>
      <w:autoSpaceDE w:val="0"/>
      <w:autoSpaceDN w:val="0"/>
      <w:adjustRightInd w:val="0"/>
      <w:spacing w:after="0" w:line="480" w:lineRule="auto"/>
      <w:ind w:left="720" w:hanging="720"/>
      <w:jc w:val="both"/>
      <w:textAlignment w:val="baseline"/>
    </w:pPr>
    <w:rPr>
      <w:rFonts w:eastAsia="Times New Roman" w:cs="Times New Roman"/>
      <w:szCs w:val="20"/>
    </w:rPr>
  </w:style>
  <w:style w:type="paragraph" w:customStyle="1" w:styleId="FOFNumbered">
    <w:name w:val="FOF Numbered"/>
    <w:basedOn w:val="Normal"/>
    <w:link w:val="FOFNumberedChar"/>
    <w:rsid w:val="00A25145"/>
    <w:pPr>
      <w:numPr>
        <w:numId w:val="17"/>
      </w:numPr>
      <w:spacing w:before="120" w:after="0" w:line="360" w:lineRule="auto"/>
      <w:jc w:val="both"/>
    </w:pPr>
    <w:rPr>
      <w:rFonts w:eastAsia="Times New Roman" w:cs="Times New Roman"/>
      <w:snapToGrid w:val="0"/>
      <w:szCs w:val="20"/>
    </w:rPr>
  </w:style>
  <w:style w:type="character" w:customStyle="1" w:styleId="FOFNumberedChar">
    <w:name w:val="FOF Numbered Char"/>
    <w:link w:val="FOFNumbered"/>
    <w:rsid w:val="00A25145"/>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05112">
      <w:bodyDiv w:val="1"/>
      <w:marLeft w:val="0"/>
      <w:marRight w:val="0"/>
      <w:marTop w:val="0"/>
      <w:marBottom w:val="0"/>
      <w:divBdr>
        <w:top w:val="none" w:sz="0" w:space="0" w:color="auto"/>
        <w:left w:val="none" w:sz="0" w:space="0" w:color="auto"/>
        <w:bottom w:val="none" w:sz="0" w:space="0" w:color="auto"/>
        <w:right w:val="none" w:sz="0" w:space="0" w:color="auto"/>
      </w:divBdr>
    </w:div>
    <w:div w:id="1093864863">
      <w:bodyDiv w:val="1"/>
      <w:marLeft w:val="0"/>
      <w:marRight w:val="0"/>
      <w:marTop w:val="0"/>
      <w:marBottom w:val="0"/>
      <w:divBdr>
        <w:top w:val="none" w:sz="0" w:space="0" w:color="auto"/>
        <w:left w:val="none" w:sz="0" w:space="0" w:color="auto"/>
        <w:bottom w:val="none" w:sz="0" w:space="0" w:color="auto"/>
        <w:right w:val="none" w:sz="0" w:space="0" w:color="auto"/>
      </w:divBdr>
    </w:div>
    <w:div w:id="1349521199">
      <w:bodyDiv w:val="1"/>
      <w:marLeft w:val="0"/>
      <w:marRight w:val="0"/>
      <w:marTop w:val="0"/>
      <w:marBottom w:val="0"/>
      <w:divBdr>
        <w:top w:val="none" w:sz="0" w:space="0" w:color="auto"/>
        <w:left w:val="none" w:sz="0" w:space="0" w:color="auto"/>
        <w:bottom w:val="none" w:sz="0" w:space="0" w:color="auto"/>
        <w:right w:val="none" w:sz="0" w:space="0" w:color="auto"/>
      </w:divBdr>
    </w:div>
    <w:div w:id="137561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5E87-AF81-4417-B0D4-CD9F9AB8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7826</Words>
  <Characters>44612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2019-06-11T20:35:00Z</dcterms:created>
  <dcterms:modified xsi:type="dcterms:W3CDTF">2019-06-11T20:36:00Z</dcterms:modified>
</cp:coreProperties>
</file>